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284"/>
        <w:jc w:val="center"/>
      </w:pPr>
      <w:r>
        <w:t xml:space="preserve">Перечень критериев оценки заявок участников</w:t>
      </w:r>
      <w:r/>
    </w:p>
    <w:tbl>
      <w:tblPr>
        <w:tblW w:w="15451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993"/>
        <w:gridCol w:w="1419"/>
        <w:gridCol w:w="1419"/>
        <w:gridCol w:w="407"/>
        <w:gridCol w:w="729"/>
        <w:gridCol w:w="994"/>
        <w:gridCol w:w="2798"/>
        <w:gridCol w:w="5698"/>
      </w:tblGrid>
      <w:tr>
        <w:tblPrEx/>
        <w:trPr/>
        <w:tc>
          <w:tcPr>
            <w:shd w:val="clear" w:color="auto" w:fill="d5dce4"/>
            <w:tcW w:w="994" w:type="dxa"/>
            <w:vMerge w:val="restart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Номер критерия оценки в структуре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d5dce4"/>
            <w:tcW w:w="993" w:type="dxa"/>
            <w:vMerge w:val="restart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Направление оценки заявок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d5dce4"/>
            <w:tcW w:w="1419" w:type="dxa"/>
            <w:vMerge w:val="restart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Вид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gridSpan w:val="3"/>
            <w:shd w:val="clear" w:color="auto" w:fill="d5dce4"/>
            <w:tcBorders>
              <w:bottom w:val="single" w:color="auto" w:sz="4" w:space="0"/>
            </w:tcBorders>
            <w:tcW w:w="2555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Наименование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d5dce4"/>
            <w:tcBorders>
              <w:bottom w:val="single" w:color="auto" w:sz="4" w:space="0"/>
            </w:tcBorders>
            <w:tcW w:w="994" w:type="dxa"/>
            <w:vMerge w:val="restart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Значимость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d5dce4"/>
            <w:tcBorders>
              <w:bottom w:val="single" w:color="auto" w:sz="4" w:space="0"/>
            </w:tcBorders>
            <w:tcW w:w="2798" w:type="dxa"/>
            <w:vMerge w:val="restart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Содержание частного критерия оценки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d5dce4"/>
            <w:tcBorders>
              <w:bottom w:val="single" w:color="auto" w:sz="4" w:space="0"/>
            </w:tcBorders>
            <w:tcW w:w="5698" w:type="dxa"/>
            <w:vMerge w:val="restart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заявки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d5dce4"/>
            <w:tcW w:w="994" w:type="dxa"/>
            <w:vMerge w:val="continue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d5dce4"/>
            <w:tcW w:w="993" w:type="dxa"/>
            <w:vMerge w:val="continue"/>
            <w:textDirection w:val="lrTb"/>
            <w:noWrap/>
          </w:tcPr>
          <w:p>
            <w:pPr>
              <w:numPr>
                <w:ilvl w:val="7"/>
                <w:numId w:val="0"/>
              </w:numPr>
              <w:ind w:left="-108" w:right="-108"/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d5dce4"/>
            <w:tcW w:w="1419" w:type="dxa"/>
            <w:vMerge w:val="continue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d5dce4"/>
            <w:tcW w:w="1419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gridSpan w:val="2"/>
            <w:shd w:val="clear" w:color="auto" w:fill="d5dce4"/>
            <w:tcBorders>
              <w:bottom w:val="single" w:color="auto" w:sz="4" w:space="0"/>
            </w:tcBorders>
            <w:tcW w:w="1136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критерий оценки второго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d5dce4"/>
            <w:tcW w:w="994" w:type="dxa"/>
            <w:vMerge w:val="continue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d5dce4"/>
            <w:tcW w:w="2798" w:type="dxa"/>
            <w:vMerge w:val="continue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d5dce4"/>
            <w:tcW w:w="5698" w:type="dxa"/>
            <w:vMerge w:val="continue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keepNext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auto" w:fill="auto"/>
            <w:tcW w:w="994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1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Цена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W w:w="1419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Ценовой (стоимостной) частный критерий оценки первого уровня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right w:val="single" w:color="auto" w:sz="4" w:space="0"/>
            </w:tcBorders>
            <w:tcW w:w="1419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i/>
                <w:sz w:val="18"/>
                <w:szCs w:val="18"/>
                <w:shd w:val="clear" w:color="auto" w:fill="ffff99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Цена договора</w:t>
            </w:r>
            <w:r>
              <w:rPr>
                <w:i/>
                <w:sz w:val="18"/>
                <w:szCs w:val="18"/>
                <w:shd w:val="clear" w:color="auto" w:fill="ffff99"/>
                <w:lang w:eastAsia="en-US"/>
              </w:rPr>
            </w:r>
            <w:r>
              <w:rPr>
                <w:i/>
                <w:sz w:val="18"/>
                <w:szCs w:val="18"/>
                <w:shd w:val="clear" w:color="auto" w:fill="ffff99"/>
                <w:lang w:eastAsia="en-US"/>
              </w:rPr>
            </w:r>
          </w:p>
        </w:tc>
        <w:tc>
          <w:tcPr>
            <w:gridSpan w:val="2"/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1136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Отсутствует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94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85% </w:t>
            </w:r>
            <w:r>
              <w:rPr>
                <w:sz w:val="18"/>
                <w:szCs w:val="18"/>
                <w:lang w:eastAsia="en-US"/>
              </w:rPr>
            </w:r>
            <w:r>
              <w:rPr>
                <w:sz w:val="18"/>
                <w:szCs w:val="18"/>
                <w:lang w:eastAsia="en-US"/>
              </w:rPr>
            </w:r>
          </w:p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  <w:lang w:eastAsia="en-US"/>
              </w:rPr>
              <w:t xml:space="preserve">(B</w:t>
            </w:r>
            <w:r>
              <w:rPr>
                <w:sz w:val="18"/>
                <w:szCs w:val="18"/>
                <w:vertAlign w:val="subscript"/>
                <w:lang w:eastAsia="en-US"/>
              </w:rPr>
              <w:t xml:space="preserve">1</w:t>
            </w:r>
            <w:r>
              <w:rPr>
                <w:sz w:val="18"/>
                <w:szCs w:val="18"/>
                <w:lang w:eastAsia="en-US"/>
              </w:rPr>
              <w:t xml:space="preserve"> = 0,85)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798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 xml:space="preserve">Чем меньше цена договора, тем выше предпочтительность</w:t>
            </w:r>
            <w:r>
              <w:rPr>
                <w:sz w:val="18"/>
                <w:szCs w:val="18"/>
                <w:highlight w:val="yellow"/>
              </w:rPr>
            </w:r>
            <w:r>
              <w:rPr>
                <w:sz w:val="18"/>
                <w:szCs w:val="18"/>
                <w:highlight w:val="yellow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</w:tcBorders>
            <w:tcW w:w="5698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по частному критерию по методу «Математическая формула, задающая «функцию ценности»»: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pStyle w:val="902"/>
              <w:ind w:left="0"/>
              <w:jc w:val="center"/>
              <w:spacing w:after="120" w:line="240" w:lineRule="auto"/>
              <w:rPr>
                <w:sz w:val="18"/>
                <w:szCs w:val="18"/>
                <w:lang w:eastAsia="ru-RU"/>
              </w:rPr>
            </w:pPr>
            <w:r/>
            <m:oMath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  <m:rPr/>
                    <m:t>1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rPr/>
                <m:t>=</m:t>
              </m:r>
              <m:f>
                <m:fPr>
                  <m:ctrlPr>
                    <w:rPr>
                      <w:rFonts w:ascii="Cambria Math" w:hAnsi="Cambria Math"/>
                      <w:sz w:val="24"/>
                      <w:szCs w:val="24"/>
                      <w:lang w:eastAsia="ru-RU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rPr>
                          <m:sty m:val="p"/>
                        </m:rPr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ru-RU"/>
                        </w:rPr>
                        <m:rPr>
                          <m:sty m:val="p"/>
                        </m:rPr>
                        <m:t>min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eastAsia="ru-RU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eastAsia="ru-RU"/>
                        </w:rPr>
                        <m:rPr/>
                        <m:t>ЦЕНА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n-US" w:eastAsia="ru-RU"/>
                        </w:rPr>
                        <m:rPr/>
                        <m:t>i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 w:val="24"/>
                  <w:szCs w:val="24"/>
                  <w:lang w:eastAsia="ru-RU"/>
                </w:rPr>
                <m:rPr>
                  <m:sty m:val="p"/>
                </m:rPr>
                <m:t>×Ш,</m:t>
              </m:r>
            </m:oMath>
            <w:r>
              <w:rPr>
                <w:sz w:val="18"/>
                <w:szCs w:val="18"/>
                <w:lang w:eastAsia="ru-RU"/>
              </w:rPr>
              <w:fldChar w:fldCharType="begin"/>
            </w:r>
            <w:r>
              <w:rPr>
                <w:sz w:val="18"/>
                <w:szCs w:val="18"/>
                <w:lang w:eastAsia="ru-RU"/>
              </w:rPr>
              <w:instrText xml:space="preserve"> QUOTE </w:instrText>
            </w:r>
            <w:r>
              <w:rPr>
                <w:position w:val="-6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009650" cy="295275"/>
                      <wp:effectExtent l="0" t="0" r="0" b="0"/>
                      <wp:docPr id="1" name="_x0000_i0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  <pic:nvPr/>
                            </pic:nvPicPr>
                            <pic:blipFill>
                              <a:blip r:embed="rId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009650" cy="295274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round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79.50pt;height:23.25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  <w:r>
              <w:rPr>
                <w:sz w:val="18"/>
                <w:szCs w:val="18"/>
                <w:lang w:eastAsia="ru-RU"/>
              </w:rPr>
              <w:fldChar w:fldCharType="end"/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902"/>
              <w:ind w:left="0"/>
              <w:keepNext/>
              <w:spacing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где: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902"/>
              <w:ind w:left="0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Б</w:t>
            </w:r>
            <w:r>
              <w:rPr>
                <w:sz w:val="18"/>
                <w:szCs w:val="18"/>
                <w:vertAlign w:val="subscript"/>
                <w:lang w:eastAsia="ru-RU"/>
              </w:rPr>
              <w:t xml:space="preserve">1</w:t>
            </w:r>
            <w:r>
              <w:rPr>
                <w:sz w:val="18"/>
                <w:szCs w:val="18"/>
                <w:lang w:eastAsia="ru-RU"/>
              </w:rPr>
              <w:t xml:space="preserve">–рассчитанная оценка предпочтительности по данному частному критерию оценки в баллах;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902"/>
              <w:ind w:left="0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</w:rPr>
              <w:t xml:space="preserve">ЦЕНА</w:t>
            </w:r>
            <w:r>
              <w:rPr>
                <w:i/>
                <w:iCs/>
                <w:sz w:val="18"/>
                <w:szCs w:val="18"/>
                <w:vertAlign w:val="subscript"/>
                <w:lang w:val="en-US"/>
              </w:rPr>
              <w:t xml:space="preserve">i</w:t>
            </w:r>
            <w:r>
              <w:rPr>
                <w:sz w:val="18"/>
                <w:szCs w:val="18"/>
              </w:rPr>
              <w:t xml:space="preserve">  –</w:t>
            </w:r>
            <w:r>
              <w:rPr>
                <w:rFonts w:eastAsia="Calibri"/>
                <w:sz w:val="18"/>
                <w:szCs w:val="16"/>
              </w:rPr>
              <w:t xml:space="preserve">цена договора (заявки), указанная в </w:t>
            </w:r>
            <w:r>
              <w:rPr>
                <w:rFonts w:eastAsia="Calibri"/>
                <w:sz w:val="18"/>
                <w:szCs w:val="16"/>
                <w:lang w:val="en-US"/>
              </w:rPr>
              <w:t xml:space="preserve">i</w:t>
            </w:r>
            <w:r>
              <w:rPr>
                <w:rFonts w:eastAsia="Calibri"/>
                <w:sz w:val="18"/>
                <w:szCs w:val="16"/>
              </w:rPr>
              <w:t xml:space="preserve">-той заявке (в Коммерческом предложении по установленной в документации о закупке форме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ind w:firstLine="0"/>
              <w:spacing w:line="25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ЦЕНА</w:t>
            </w:r>
            <w:r>
              <w:rPr>
                <w:vertAlign w:val="subscript"/>
                <w:lang w:val="en-US"/>
              </w:rPr>
              <w:t xml:space="preserve">min</w:t>
            </w:r>
            <w:r>
              <w:rPr>
                <w:sz w:val="18"/>
                <w:szCs w:val="18"/>
              </w:rPr>
              <w:t xml:space="preserve">– минимальная цена договора (заявки) среди всех допущенных заявок участников, руб. без учета НДС;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02"/>
              <w:ind w:left="0"/>
              <w:jc w:val="left"/>
              <w:spacing w:before="0" w:line="240" w:lineRule="auto"/>
              <w:tabs>
                <w:tab w:val="left" w:pos="742" w:leader="none"/>
                <w:tab w:val="left" w:pos="1167" w:leader="none"/>
              </w:tabs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Ш</w:t>
            </w:r>
            <w:r>
              <w:rPr>
                <w:sz w:val="18"/>
                <w:szCs w:val="18"/>
                <w:lang w:eastAsia="ru-RU"/>
              </w:rPr>
              <w:tab/>
              <w:t xml:space="preserve">–</w:t>
            </w:r>
            <w:r>
              <w:rPr>
                <w:sz w:val="18"/>
                <w:szCs w:val="18"/>
                <w:lang w:eastAsia="ru-RU"/>
              </w:rPr>
              <w:tab/>
              <w:t xml:space="preserve">максимально возможный балл (максимальная возможная оценка предпочтительности) по шкале оценок (Ш = 5).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pStyle w:val="903"/>
              <w:jc w:val="left"/>
              <w:spacing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Оценка предпочтительности заявок осуществляется в едином базисе сопоставления ценовых (стоимостных) предложений, установленном в документации о закупке: без учета НДС</w:t>
            </w:r>
            <w:r>
              <w:rPr>
                <w:color w:val="000000"/>
                <w:sz w:val="18"/>
              </w:rPr>
              <w:t xml:space="preserve">.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spacing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Шкала оценок от 0 до 5 баллов.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</w:tr>
      <w:tr>
        <w:tblPrEx/>
        <w:trPr/>
        <w:tc>
          <w:tcPr>
            <w:shd w:val="clear" w:color="ffffff" w:fill="ffffff"/>
            <w:tcW w:w="994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</w:rPr>
            </w:pPr>
            <w:r>
              <w:rPr>
                <w:rFonts w:eastAsia="Calibri"/>
                <w:sz w:val="18"/>
                <w:szCs w:val="18"/>
              </w:rPr>
              <w:t xml:space="preserve">2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tcW w:w="993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</w:pPr>
            <w:r>
              <w:rPr>
                <w:sz w:val="18"/>
                <w:szCs w:val="18"/>
              </w:rPr>
              <w:t xml:space="preserve">Тех</w:t>
            </w:r>
            <w:r/>
          </w:p>
        </w:tc>
        <w:tc>
          <w:tcPr>
            <w:shd w:val="clear" w:color="ffffff" w:fill="ffffff"/>
            <w:tcW w:w="1419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</w:rPr>
            </w:pPr>
            <w:r>
              <w:rPr>
                <w:sz w:val="18"/>
                <w:szCs w:val="18"/>
              </w:rPr>
              <w:t xml:space="preserve">Неценовой критерий оценки первого уровня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9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18"/>
                <w:szCs w:val="18"/>
              </w:rPr>
              <w:t xml:space="preserve">Опыт поставки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gridSpan w:val="2"/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6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ind w:left="-112"/>
              <w:jc w:val="center"/>
              <w:spacing w:before="40" w:after="40" w:line="240" w:lineRule="auto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Отсутствует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994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ind w:left="-110"/>
              <w:jc w:val="center"/>
              <w:spacing w:before="40" w:after="40" w:line="240" w:lineRule="auto"/>
              <w:rPr>
                <w:rFonts w:eastAsia="Calibri"/>
                <w:highlight w:val="white"/>
              </w:rPr>
            </w:pPr>
            <w:r>
              <w:rPr>
                <w:rFonts w:eastAsia="Calibri"/>
                <w:sz w:val="18"/>
                <w:szCs w:val="18"/>
                <w:highlight w:val="white"/>
              </w:rPr>
              <w:t xml:space="preserve">10%</w:t>
            </w:r>
            <w:r>
              <w:rPr>
                <w:rFonts w:eastAsia="Calibri"/>
                <w:sz w:val="18"/>
                <w:szCs w:val="18"/>
                <w:highlight w:val="white"/>
              </w:rPr>
              <w:br/>
              <w:t xml:space="preserve">(В</w:t>
            </w:r>
            <w:r>
              <w:rPr>
                <w:rFonts w:eastAsia="Calibri"/>
                <w:sz w:val="18"/>
                <w:szCs w:val="18"/>
                <w:highlight w:val="white"/>
                <w:vertAlign w:val="subscript"/>
              </w:rPr>
              <w:t xml:space="preserve">2</w:t>
            </w:r>
            <w:r>
              <w:rPr>
                <w:rFonts w:eastAsia="Calibri"/>
                <w:sz w:val="18"/>
                <w:szCs w:val="18"/>
                <w:highlight w:val="white"/>
              </w:rPr>
              <w:t xml:space="preserve"> = 0,10)</w:t>
            </w:r>
            <w:r>
              <w:rPr>
                <w:rFonts w:eastAsia="Calibri"/>
                <w:highlight w:val="white"/>
              </w:rPr>
            </w:r>
            <w:r>
              <w:rPr>
                <w:rFonts w:eastAsia="Calibri"/>
                <w:highlight w:val="white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798" w:type="dxa"/>
            <w:textDirection w:val="lrTb"/>
            <w:noWrap/>
          </w:tcPr>
          <w:p>
            <w:pPr>
              <w:ind w:left="0" w:right="0" w:firstLine="0"/>
              <w:jc w:val="left"/>
              <w:spacing w:line="240" w:lineRule="auto"/>
              <w:rPr>
                <w:color w:val="000000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Чем больше совокупный  опыт поставки продукции: </w:t>
            </w:r>
            <w:r>
              <w:rPr>
                <w:rFonts w:eastAsia="Calibri"/>
                <w:b/>
                <w:bCs/>
                <w:sz w:val="18"/>
                <w:szCs w:val="18"/>
              </w:rPr>
              <w:t xml:space="preserve">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КЦ2-500/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КЦ2-750/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РМ-400/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1ЦУ-160/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1Ц2У-200/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Ц2У-250/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РЦД-400/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Ц2 350/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Ц2-400/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 мотор-редуктор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МПО2М-10/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мотор-редуктор </w:t>
            </w:r>
            <w:r>
              <w:rPr>
                <w:rFonts w:eastAsia="Calibri"/>
                <w:b/>
                <w:bCs/>
                <w:sz w:val="18"/>
                <w:szCs w:val="18"/>
                <w:highlight w:val="white"/>
              </w:rPr>
              <w:t xml:space="preserve">NMRV-110/</w:t>
            </w:r>
            <w:r>
              <w:rPr>
                <w:color w:val="000000"/>
                <w:sz w:val="18"/>
                <w:szCs w:val="18"/>
                <w:highlight w:val="white"/>
              </w:rPr>
              <w:t xml:space="preserve">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колесо червячное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ч. 7855/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колесо червячное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ч. П.304/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 колесо зубчатое ч. 2-32583/</w:t>
            </w:r>
            <w:r>
              <w:rPr>
                <w:rFonts w:eastAsia="Calibri"/>
                <w:color w:val="000000" w:themeColor="text1"/>
                <w:sz w:val="18"/>
                <w:szCs w:val="18"/>
                <w:highlight w:val="white"/>
              </w:rPr>
              <w:t xml:space="preserve">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венец привода РВП-68 ч.08.5740.007/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приводная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шестерня ч.3-61145/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приводная шестерня </w:t>
            </w:r>
            <w:r>
              <w:rPr>
                <w:rFonts w:eastAsia="Calibri"/>
                <w:b/>
                <w:bCs/>
                <w:color w:val="000000" w:themeColor="text1"/>
                <w:sz w:val="18"/>
                <w:szCs w:val="18"/>
                <w:highlight w:val="white"/>
              </w:rPr>
              <w:t xml:space="preserve">ч.3-3502/ </w:t>
            </w:r>
            <w:r>
              <w:rPr>
                <w:b/>
                <w:sz w:val="18"/>
                <w:szCs w:val="18"/>
                <w:highlight w:val="white"/>
              </w:rPr>
              <w:t xml:space="preserve">вал-</w:t>
            </w:r>
            <w:r>
              <w:rPr>
                <w:b/>
                <w:sz w:val="18"/>
                <w:szCs w:val="18"/>
                <w:highlight w:val="white"/>
              </w:rPr>
              <w:t xml:space="preserve">шестерня</w:t>
            </w:r>
            <w:r>
              <w:rPr>
                <w:b/>
                <w:sz w:val="18"/>
                <w:szCs w:val="18"/>
                <w:highlight w:val="white"/>
              </w:rPr>
              <w:t xml:space="preserve"> 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ч.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3-63320/</w:t>
            </w:r>
            <w:r>
              <w:rPr>
                <w:b/>
                <w:sz w:val="18"/>
                <w:szCs w:val="18"/>
                <w:highlight w:val="white"/>
              </w:rPr>
              <w:t xml:space="preserve"> </w:t>
            </w:r>
            <w:r>
              <w:rPr>
                <w:b/>
                <w:sz w:val="18"/>
                <w:szCs w:val="18"/>
                <w:highlight w:val="white"/>
              </w:rPr>
              <w:t xml:space="preserve">вал ЦО-75 </w:t>
            </w:r>
            <w:r>
              <w:rPr>
                <w:b/>
                <w:sz w:val="18"/>
                <w:szCs w:val="18"/>
                <w:highlight w:val="white"/>
              </w:rPr>
              <w:t xml:space="preserve">(ведомый) 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ч.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3-63321/ </w:t>
            </w:r>
            <w:r>
              <w:rPr>
                <w:b/>
                <w:sz w:val="18"/>
                <w:szCs w:val="18"/>
                <w:highlight w:val="white"/>
              </w:rPr>
              <w:t xml:space="preserve"> </w:t>
            </w:r>
            <w:r>
              <w:rPr>
                <w:b/>
                <w:sz w:val="18"/>
                <w:szCs w:val="18"/>
                <w:highlight w:val="white"/>
              </w:rPr>
              <w:t xml:space="preserve">вал 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ч.5М-01-05-Н/ </w:t>
            </w:r>
            <w:r>
              <w:rPr>
                <w:b/>
                <w:color w:val="000000"/>
                <w:sz w:val="18"/>
                <w:szCs w:val="18"/>
                <w:highlight w:val="white"/>
              </w:rPr>
              <w:t xml:space="preserve">привод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white"/>
              </w:rPr>
              <w:t xml:space="preserve"> ПЭМ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white"/>
              </w:rPr>
              <w:t xml:space="preserve">-</w:t>
            </w: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Б250-96-ЦА2-7-12</w:t>
            </w:r>
            <w:r>
              <w:rPr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(до оцениваемого предела), тем выше предпочтительность</w:t>
            </w:r>
            <w:r>
              <w:rPr>
                <w:color w:val="000000"/>
                <w:sz w:val="18"/>
                <w:szCs w:val="18"/>
              </w:rPr>
            </w:r>
            <w:r>
              <w:rPr>
                <w:color w:val="000000"/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8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Порядок осуществления оценки (значение оцениваемого параметра), в зависимости от предоставленных в i-ой заявке </w:t>
            </w:r>
            <w:r>
              <w:rPr>
                <w:sz w:val="18"/>
                <w:szCs w:val="18"/>
              </w:rPr>
              <w:t xml:space="preserve">(в Справке об опы</w:t>
            </w:r>
            <w:r>
              <w:rPr>
                <w:sz w:val="18"/>
                <w:szCs w:val="18"/>
              </w:rPr>
              <w:t xml:space="preserve">те Участника по установленной в документации о закупке форме, с приложением подтверждающих документов (подписанных с обеих сторон договоров и ТОРГ12/УПД) сведений о ранее выполненных договорах, подтверждающих наличие опыта поставки продукции на общую сумму</w:t>
            </w:r>
            <w:r>
              <w:rPr>
                <w:rFonts w:eastAsia="Calibri"/>
                <w:sz w:val="18"/>
                <w:szCs w:val="18"/>
              </w:rPr>
              <w:t xml:space="preserve">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tbl>
            <w:tblPr>
              <w:tblW w:w="6164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2"/>
              <w:gridCol w:w="5202"/>
            </w:tblGrid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hanging="66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0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900"/>
                    <w:ind w:left="284" w:hanging="284"/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0 % от НМЦ, без учета НДС, до 50% от НМЦ, без учета НДС (включительно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)з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hanging="66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1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single" w:color="000000" w:sz="8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900"/>
                    <w:ind w:left="284" w:hanging="284"/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50 % от НМЦ, без учета НДС, до 60% от НМЦ, без учета НДС (включительно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)з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hanging="66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2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900"/>
                    <w:ind w:left="284" w:hanging="284"/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60 % от НМЦ, без учета НДС, до 70% от НМЦ, без учета НДС (включительно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)з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hanging="66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3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900"/>
                    <w:ind w:left="284" w:hanging="284"/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70 % от НМЦ, без учета НДС, до 80% от НМЦ, без учета НДС (включительно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)з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hanging="66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4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900"/>
                    <w:ind w:left="284" w:hanging="284"/>
                    <w:jc w:val="left"/>
                    <w:spacing w:before="40" w:after="40" w:line="240" w:lineRule="auto"/>
                    <w:rPr>
                      <w:sz w:val="18"/>
                      <w:szCs w:val="18"/>
                      <w:lang w:eastAsia="ru-RU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80 % от НМЦ, без учета НДС, до 90% от НМЦ, без учета НДС (включительно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)з</w:t>
                  </w:r>
                  <w:r>
                    <w:rPr>
                      <w:sz w:val="18"/>
                      <w:szCs w:val="18"/>
                      <w:lang w:eastAsia="ru-RU"/>
                    </w:rPr>
                    <w:t xml:space="preserve">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  <w:r>
                    <w:rPr>
                      <w:sz w:val="18"/>
                      <w:szCs w:val="18"/>
                      <w:lang w:eastAsia="ru-RU"/>
                    </w:rPr>
                  </w:r>
                </w:p>
              </w:tc>
            </w:tr>
            <w:tr>
              <w:tblPrEx/>
              <w:trPr>
                <w:cantSplit/>
                <w:trHeight w:val="309"/>
              </w:trPr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single" w:color="000000" w:sz="8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962" w:type="dxa"/>
                  <w:textDirection w:val="lrTb"/>
                  <w:noWrap/>
                </w:tcPr>
                <w:p>
                  <w:pPr>
                    <w:ind w:hanging="66"/>
                    <w:jc w:val="center"/>
                    <w:spacing w:before="40" w:after="40" w:line="256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Б</w:t>
                  </w:r>
                  <w:r>
                    <w:rPr>
                      <w:sz w:val="18"/>
                      <w:szCs w:val="18"/>
                      <w:vertAlign w:val="subscript"/>
                    </w:rPr>
                    <w:t xml:space="preserve">2</w:t>
                  </w:r>
                  <w:r>
                    <w:rPr>
                      <w:sz w:val="18"/>
                      <w:szCs w:val="18"/>
                    </w:rPr>
                    <w:t xml:space="preserve">= 5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single" w:color="000000" w:sz="8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Mar>
                    <w:left w:w="108" w:type="dxa"/>
                    <w:top w:w="0" w:type="dxa"/>
                    <w:right w:w="108" w:type="dxa"/>
                    <w:bottom w:w="0" w:type="dxa"/>
                  </w:tcMar>
                  <w:tcW w:w="5202" w:type="dxa"/>
                  <w:textDirection w:val="lrTb"/>
                  <w:noWrap/>
                </w:tcPr>
                <w:p>
                  <w:pPr>
                    <w:pStyle w:val="900"/>
                    <w:ind w:left="284" w:hanging="284"/>
                    <w:jc w:val="left"/>
                    <w:spacing w:before="40" w:after="40" w:line="240" w:lineRule="auto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  <w:lang w:eastAsia="ru-RU"/>
                    </w:rPr>
                    <w:t xml:space="preserve">Более 90 % от НМЦ, без учета НДС и выше за последние 5 лет, предшествующих дате подачи заявки;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</w:tbl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где: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НМЦ–начальная (максимальная) цена договора, установленная в документации о закупке;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Б</w:t>
            </w:r>
            <w:r>
              <w:rPr>
                <w:rFonts w:eastAsia="Calibri"/>
                <w:sz w:val="18"/>
                <w:szCs w:val="18"/>
                <w:vertAlign w:val="subscript"/>
              </w:rPr>
              <w:t xml:space="preserve">2</w:t>
            </w:r>
            <w:r>
              <w:rPr>
                <w:rFonts w:eastAsia="Calibri"/>
                <w:sz w:val="18"/>
                <w:szCs w:val="18"/>
              </w:rPr>
              <w:t xml:space="preserve">–рассчитанная оценка предпочтительности по данному частному критерию оценки в баллах.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Опыт, несоответствующий установленным в документации о закупке требованиям, не оценивается.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spacing w:after="12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Оцениваемый критерий -  сумма исполненных обязательств за последние 5 лет предшествующих дате подачи заявки Участника.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ind w:firstLine="0"/>
              <w:rPr>
                <w:sz w:val="18"/>
                <w:szCs w:val="18"/>
              </w:rPr>
            </w:pPr>
            <w:r>
              <w:rPr>
                <w:rFonts w:eastAsia="Calibri"/>
                <w:b/>
                <w:sz w:val="18"/>
                <w:szCs w:val="18"/>
              </w:rPr>
              <w:t xml:space="preserve">Шкала оценок от 0 до 5 баллов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247"/>
        </w:trPr>
        <w:tc>
          <w:tcPr>
            <w:shd w:val="clear" w:color="ffffff" w:fill="ffffff"/>
            <w:tcW w:w="994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3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tcW w:w="993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Тех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W w:w="1419" w:type="dxa"/>
            <w:textDirection w:val="lrTb"/>
            <w:noWrap/>
          </w:tcPr>
          <w:p>
            <w:pPr>
              <w:pStyle w:val="903"/>
              <w:numPr>
                <w:ilvl w:val="7"/>
                <w:numId w:val="10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 xml:space="preserve">Неценовой критерий оценки первого уровня / </w:t>
            </w:r>
            <w:r>
              <w:rPr>
                <w:sz w:val="18"/>
                <w:szCs w:val="18"/>
                <w:lang w:eastAsia="ru-RU"/>
              </w:rPr>
              <w:t xml:space="preserve">ОРГ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right w:val="single" w:color="000000" w:sz="4" w:space="0"/>
            </w:tcBorders>
            <w:tcW w:w="1419" w:type="dxa"/>
            <w:textDirection w:val="lrTb"/>
            <w:noWrap/>
          </w:tcPr>
          <w:p>
            <w:pPr>
              <w:pStyle w:val="903"/>
              <w:numPr>
                <w:ilvl w:val="7"/>
                <w:numId w:val="11"/>
              </w:numPr>
              <w:jc w:val="center"/>
              <w:spacing w:before="40" w:after="40" w:line="240" w:lineRule="auto"/>
              <w:rPr>
                <w:sz w:val="18"/>
                <w:szCs w:val="18"/>
                <w:lang w:eastAsia="ru-RU"/>
              </w:rPr>
            </w:pPr>
            <w:r>
              <w:rPr>
                <w:rFonts w:eastAsia="Calibri"/>
                <w:sz w:val="18"/>
                <w:szCs w:val="18"/>
              </w:rPr>
              <w:t xml:space="preserve">Финансовое состояние (устойчивость) Участника</w:t>
            </w:r>
            <w:r>
              <w:rPr>
                <w:sz w:val="18"/>
                <w:szCs w:val="18"/>
                <w:lang w:eastAsia="ru-RU"/>
              </w:rPr>
            </w:r>
            <w:r>
              <w:rPr>
                <w:sz w:val="18"/>
                <w:szCs w:val="18"/>
                <w:lang w:eastAsia="ru-RU"/>
              </w:rPr>
            </w:r>
          </w:p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gridSpan w:val="2"/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1136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Отсутствует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994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5% 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  <w:p>
            <w:pPr>
              <w:numPr>
                <w:ilvl w:val="7"/>
                <w:numId w:val="0"/>
              </w:num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(В3 = 0,05)</w:t>
            </w:r>
            <w:r>
              <w:rPr>
                <w:rFonts w:eastAsia="Calibri"/>
                <w:sz w:val="18"/>
                <w:szCs w:val="18"/>
              </w:rPr>
            </w:r>
            <w:r>
              <w:rPr>
                <w:rFonts w:eastAsia="Calibri"/>
                <w:sz w:val="18"/>
                <w:szCs w:val="18"/>
              </w:rPr>
            </w:r>
          </w:p>
        </w:tc>
        <w:tc>
          <w:tcPr>
            <w:shd w:val="clear" w:color="ffffff" w:fill="ffffff"/>
            <w:tcBorders>
              <w:left w:val="single" w:color="000000" w:sz="4" w:space="0"/>
              <w:right w:val="single" w:color="000000" w:sz="4" w:space="0"/>
            </w:tcBorders>
            <w:tcW w:w="2798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center"/>
              <w:spacing w:before="40" w:after="40" w:line="240" w:lineRule="auto"/>
            </w:pPr>
            <w:r>
              <w:rPr>
                <w:rFonts w:eastAsia="Calibri"/>
                <w:sz w:val="18"/>
                <w:szCs w:val="18"/>
              </w:rPr>
              <w:t xml:space="preserve">Чем выше результат оценки финансового состояния (устойчивости) Участника, тем выше предпочтительность</w:t>
            </w:r>
            <w:r/>
          </w:p>
        </w:tc>
        <w:tc>
          <w:tcPr>
            <w:shd w:val="clear" w:color="ffffff" w:fill="ffffff"/>
            <w:tcBorders>
              <w:left w:val="single" w:color="000000" w:sz="4" w:space="0"/>
            </w:tcBorders>
            <w:tcW w:w="5698" w:type="dxa"/>
            <w:textDirection w:val="lrTb"/>
            <w:noWrap/>
          </w:tcPr>
          <w:p>
            <w:pPr>
              <w:pStyle w:val="921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Расчет оценки предпочтительности по частному критерию по методу «Оценка предпочтительности посредством однозначной числовой шкалы измерений»: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21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Порядок осуществления оценки (значение оцениваемого параметра), в зависимости от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полученного Участником (с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rPr/>
                <m:t>i</m:t>
              </m:r>
            </m:oMath>
            <w:r>
              <w:rPr>
                <w:sz w:val="18"/>
                <w:szCs w:val="18"/>
              </w:rPr>
              <w:t xml:space="preserve">-ой заявкой) значения расчетного балла (интегрального </w:t>
            </w:r>
            <w:r>
              <w:rPr>
                <w:sz w:val="18"/>
                <w:szCs w:val="18"/>
              </w:rPr>
              <w:t xml:space="preserve">показателя финансового состояния) и установленной соответствующей характеристики его финансового состояния (кризисное / неустойчивое / устойчивое) по результатам проведенной в рамках аккредитации оценки его финансового состояния (устойчивости), при этом</w:t>
            </w:r>
            <w:r>
              <w:rPr>
                <w:sz w:val="18"/>
                <w:szCs w:val="18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21"/>
              <w:numPr>
                <w:ilvl w:val="0"/>
                <w:numId w:val="20"/>
              </w:numPr>
              <w:ind w:left="142" w:hanging="142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</w:t>
            </w:r>
            <w:r>
              <w:rPr>
                <w:sz w:val="18"/>
                <w:szCs w:val="18"/>
              </w:rPr>
              <w:t xml:space="preserve">орядок проведения оценки финансового состояния (устойчивости) Участника установлен в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Приложении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4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к Положению </w:t>
            </w:r>
            <w:r>
              <w:rPr>
                <w:sz w:val="18"/>
                <w:szCs w:val="18"/>
              </w:rPr>
              <w:t xml:space="preserve">об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аккредитации</w:t>
            </w:r>
            <w:r>
              <w:rPr>
                <w:rStyle w:val="883"/>
                <w:sz w:val="18"/>
                <w:szCs w:val="18"/>
              </w:rPr>
              <w:footnoteReference w:id="2"/>
            </w:r>
            <w:r>
              <w:rPr>
                <w:sz w:val="18"/>
                <w:szCs w:val="18"/>
              </w:rPr>
              <w:t xml:space="preserve">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21"/>
              <w:numPr>
                <w:ilvl w:val="0"/>
                <w:numId w:val="20"/>
              </w:numPr>
              <w:ind w:left="142" w:hanging="142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и</w:t>
            </w:r>
            <w:r>
              <w:rPr>
                <w:sz w:val="18"/>
                <w:szCs w:val="18"/>
              </w:rPr>
              <w:t xml:space="preserve">сходны</w:t>
            </w:r>
            <w:r>
              <w:rPr>
                <w:sz w:val="18"/>
                <w:szCs w:val="18"/>
              </w:rPr>
              <w:t xml:space="preserve">ми</w:t>
            </w:r>
            <w:r>
              <w:rPr>
                <w:sz w:val="18"/>
                <w:szCs w:val="18"/>
              </w:rPr>
              <w:t xml:space="preserve"> данны</w:t>
            </w:r>
            <w:r>
              <w:rPr>
                <w:sz w:val="18"/>
                <w:szCs w:val="18"/>
              </w:rPr>
              <w:t xml:space="preserve">ми</w:t>
            </w:r>
            <w:r>
              <w:rPr>
                <w:sz w:val="18"/>
                <w:szCs w:val="18"/>
              </w:rPr>
              <w:t xml:space="preserve"> для расчета интегрального показателя финансового состояния Участника </w:t>
            </w:r>
            <w:r>
              <w:rPr>
                <w:sz w:val="18"/>
                <w:szCs w:val="18"/>
              </w:rPr>
              <w:t xml:space="preserve">являются</w:t>
            </w:r>
            <w:r>
              <w:rPr>
                <w:sz w:val="18"/>
                <w:szCs w:val="18"/>
              </w:rPr>
              <w:t xml:space="preserve"> сведения, опубликованные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в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государственном информационном ресурсе бухгалтерской (финансовой) отчетности организаций (https://bo.nalog.ru) за предыдущий отчетный период (год)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по состоянию на дату </w:t>
            </w:r>
            <w:r>
              <w:rPr>
                <w:sz w:val="18"/>
                <w:szCs w:val="18"/>
              </w:rPr>
              <w:t xml:space="preserve">окончания срока </w:t>
            </w:r>
            <w:r>
              <w:rPr>
                <w:sz w:val="18"/>
                <w:szCs w:val="18"/>
              </w:rPr>
              <w:t xml:space="preserve">подачи </w:t>
            </w:r>
            <w:r>
              <w:rPr>
                <w:sz w:val="18"/>
                <w:szCs w:val="18"/>
              </w:rPr>
              <w:t xml:space="preserve">заявок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21"/>
              <w:ind w:left="142"/>
              <w:jc w:val="left"/>
              <w:keepNext/>
              <w:spacing w:before="12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Если Участник</w:t>
            </w:r>
            <w:r>
              <w:rPr>
                <w:sz w:val="18"/>
                <w:szCs w:val="18"/>
              </w:rPr>
              <w:t xml:space="preserve"> в соответствии с законодательством</w:t>
            </w:r>
            <w:r>
              <w:rPr>
                <w:sz w:val="18"/>
                <w:szCs w:val="18"/>
              </w:rPr>
              <w:t xml:space="preserve"> не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размещает сведения о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своей бухгалтерской (финансовой) отчетности </w:t>
            </w:r>
            <w:r>
              <w:rPr>
                <w:sz w:val="18"/>
                <w:szCs w:val="18"/>
              </w:rPr>
              <w:t xml:space="preserve">(по формам </w:t>
            </w:r>
            <w:r>
              <w:rPr>
                <w:sz w:val="18"/>
                <w:szCs w:val="18"/>
              </w:rPr>
              <w:t xml:space="preserve">ОКУД 0710001</w:t>
            </w:r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0710002</w:t>
            </w:r>
            <w:r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в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упомянутом государственном информационном ресурсе –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оценка его финансового состояния производится на основании </w:t>
            </w:r>
            <w:r>
              <w:rPr>
                <w:sz w:val="18"/>
                <w:szCs w:val="18"/>
              </w:rPr>
              <w:t xml:space="preserve">электронн</w:t>
            </w:r>
            <w:r>
              <w:rPr>
                <w:sz w:val="18"/>
                <w:szCs w:val="18"/>
              </w:rPr>
              <w:t xml:space="preserve">ой</w:t>
            </w:r>
            <w:r>
              <w:rPr>
                <w:sz w:val="18"/>
                <w:szCs w:val="18"/>
              </w:rPr>
              <w:t xml:space="preserve"> копи</w:t>
            </w:r>
            <w:r>
              <w:rPr>
                <w:sz w:val="18"/>
                <w:szCs w:val="18"/>
              </w:rPr>
              <w:t xml:space="preserve">и</w:t>
            </w:r>
            <w:r>
              <w:rPr>
                <w:sz w:val="18"/>
                <w:szCs w:val="18"/>
              </w:rPr>
              <w:t xml:space="preserve"> бухгалтерского баланса (ОКУД 0710001) и отчета о финансовых результатах (ОКУД 0710002) за последний завершенный финансовый год, с отметкой налогового органа о приеме или с приложением квитанции о приеме и (или) извещения о вводе сведений налоговым органом</w:t>
            </w:r>
            <w:r>
              <w:rPr>
                <w:sz w:val="18"/>
                <w:szCs w:val="18"/>
              </w:rPr>
              <w:t xml:space="preserve">, представленной 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составе Заявки на аккредитацию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(или отдельно в составе заявки на участие в закупке, если ранее при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прохождении аккредитации не были представлены)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21"/>
              <w:ind w:left="142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</w:t>
            </w:r>
            <w:r>
              <w:rPr>
                <w:sz w:val="18"/>
                <w:szCs w:val="18"/>
              </w:rPr>
              <w:t xml:space="preserve">сли Участник 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соответствии с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законодательством формирует отчетность по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форм</w:t>
            </w:r>
            <w:r>
              <w:rPr>
                <w:sz w:val="18"/>
                <w:szCs w:val="18"/>
              </w:rPr>
              <w:t xml:space="preserve">ам</w:t>
            </w:r>
            <w:r>
              <w:rPr>
                <w:sz w:val="18"/>
                <w:szCs w:val="18"/>
              </w:rPr>
              <w:t xml:space="preserve"> ОКУД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0503730, 0503721 (и</w:t>
            </w:r>
            <w:r>
              <w:rPr>
                <w:sz w:val="18"/>
                <w:szCs w:val="18"/>
              </w:rPr>
              <w:t xml:space="preserve"> (</w:t>
            </w:r>
            <w:r>
              <w:rPr>
                <w:sz w:val="18"/>
                <w:szCs w:val="18"/>
              </w:rPr>
              <w:t xml:space="preserve">или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  <w:t xml:space="preserve"> освобожден от предоставления дополнительного экземпляра отчетности </w:t>
            </w:r>
            <w:r>
              <w:rPr>
                <w:sz w:val="18"/>
                <w:szCs w:val="18"/>
              </w:rPr>
              <w:t xml:space="preserve">для размещения на официальном</w:t>
            </w:r>
            <w:r>
              <w:rPr>
                <w:sz w:val="18"/>
                <w:szCs w:val="18"/>
              </w:rPr>
              <w:t xml:space="preserve"> сайт</w:t>
            </w:r>
            <w:r>
              <w:rPr>
                <w:sz w:val="18"/>
                <w:szCs w:val="18"/>
              </w:rPr>
              <w:t xml:space="preserve">е</w:t>
            </w:r>
            <w:r>
              <w:rPr>
                <w:sz w:val="18"/>
                <w:szCs w:val="18"/>
              </w:rPr>
              <w:t xml:space="preserve"> ФНС</w:t>
            </w:r>
            <w:r>
              <w:rPr>
                <w:sz w:val="18"/>
                <w:szCs w:val="18"/>
              </w:rPr>
              <w:t xml:space="preserve"> России</w:t>
            </w:r>
            <w:r>
              <w:rPr>
                <w:sz w:val="18"/>
                <w:szCs w:val="18"/>
              </w:rPr>
              <w:t xml:space="preserve">) – оценка его финансового состояния производится </w:t>
            </w:r>
            <w:r>
              <w:rPr>
                <w:sz w:val="18"/>
                <w:szCs w:val="18"/>
              </w:rPr>
              <w:t xml:space="preserve">на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основании </w:t>
            </w:r>
            <w:r>
              <w:rPr>
                <w:sz w:val="18"/>
                <w:szCs w:val="18"/>
              </w:rPr>
              <w:t xml:space="preserve">представленн</w:t>
            </w:r>
            <w:r>
              <w:rPr>
                <w:sz w:val="18"/>
                <w:szCs w:val="18"/>
              </w:rPr>
              <w:t xml:space="preserve">ых</w:t>
            </w:r>
            <w:r>
              <w:rPr>
                <w:sz w:val="18"/>
                <w:szCs w:val="18"/>
              </w:rPr>
              <w:t xml:space="preserve"> в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составе Заявки на аккредитацию</w:t>
            </w:r>
            <w:r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или отдельно в составе заявки на участие в закупке, если ранее при прохождении аккредитации не были представлены</w:t>
            </w:r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21"/>
              <w:numPr>
                <w:ilvl w:val="0"/>
                <w:numId w:val="20"/>
              </w:numPr>
              <w:ind w:left="284" w:hanging="142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электронной копии бух</w:t>
            </w:r>
            <w:r>
              <w:rPr>
                <w:sz w:val="18"/>
                <w:szCs w:val="18"/>
              </w:rPr>
              <w:t xml:space="preserve">галтерской (финансовой) отчетности по формам ОКУД 0503730, 0503721 за последний завершенный и предшествующий ему финансовый год, с отметкой налогового органа о приеме или с приложением квитанции о приеме и (или) извещения о вводе сведений налоговым органом</w:t>
            </w:r>
            <w:r>
              <w:rPr>
                <w:sz w:val="18"/>
                <w:szCs w:val="18"/>
              </w:rPr>
              <w:t xml:space="preserve">;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21"/>
              <w:numPr>
                <w:ilvl w:val="0"/>
                <w:numId w:val="20"/>
              </w:numPr>
              <w:ind w:left="284" w:hanging="142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дополнительных сведений о размере всех требуемых показателей </w:t>
            </w:r>
            <w:r>
              <w:rPr>
                <w:sz w:val="18"/>
                <w:szCs w:val="18"/>
              </w:rPr>
              <w:t xml:space="preserve">согласно </w:t>
            </w:r>
            <w:r>
              <w:rPr>
                <w:sz w:val="18"/>
                <w:szCs w:val="18"/>
              </w:rPr>
              <w:t xml:space="preserve">данным бухгалтерской (финансовой) отчетности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по установленной форме</w:t>
            </w:r>
            <w:r>
              <w:rPr>
                <w:sz w:val="18"/>
                <w:szCs w:val="18"/>
              </w:rPr>
              <w:t xml:space="preserve"> (</w:t>
            </w:r>
            <w:hyperlink w:tooltip="#Прил11_Форма_данных_бухотчетность" w:anchor="Прил11_Форма_данных_бухотчетность" w:history="1">
              <w:r>
                <w:rPr>
                  <w:rStyle w:val="880"/>
                  <w:sz w:val="18"/>
                  <w:szCs w:val="18"/>
                </w:rPr>
                <w:t xml:space="preserve">Приложение № 11</w:t>
              </w:r>
            </w:hyperlink>
            <w:r>
              <w:rPr>
                <w:sz w:val="18"/>
                <w:szCs w:val="18"/>
              </w:rPr>
              <w:t xml:space="preserve">)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21"/>
              <w:jc w:val="left"/>
              <w:keepNext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Оценка </w:t>
            </w:r>
            <w:r>
              <w:rPr>
                <w:sz w:val="18"/>
                <w:szCs w:val="18"/>
              </w:rPr>
              <w:t xml:space="preserve">предпочтительности по частному критерию</w:t>
            </w:r>
            <w:r>
              <w:rPr>
                <w:sz w:val="18"/>
                <w:szCs w:val="18"/>
              </w:rPr>
              <w:t xml:space="preserve"> осуществляется в соответствии со следующей шкалой</w:t>
            </w:r>
            <w:r>
              <w:rPr>
                <w:sz w:val="18"/>
                <w:szCs w:val="18"/>
              </w:rPr>
              <w:t xml:space="preserve">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tbl>
            <w:tblPr>
              <w:tblStyle w:val="92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95"/>
              <w:gridCol w:w="4339"/>
            </w:tblGrid>
            <w:tr>
              <w:tblPrEx/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</w:tcBorders>
                  <w:tcW w:w="795" w:type="dxa"/>
                  <w:textDirection w:val="lrTb"/>
                  <w:noWrap w:val="false"/>
                </w:tcPr>
                <w:p>
                  <w:pPr>
                    <w:pStyle w:val="921"/>
                    <w:jc w:val="left"/>
                    <w:keepNext w:val="0"/>
                    <w:spacing w:before="40" w:after="40"/>
                    <w:rPr>
                      <w:b w:val="0"/>
                      <w:bCs/>
                      <w:sz w:val="18"/>
                      <w:szCs w:val="18"/>
                    </w:rPr>
                  </w:pPr>
                  <w:r/>
                  <m:oMath>
                    <m:sSub>
                      <m:sSubPr>
                        <m:ctrlPr>
                          <w:rPr>
                            <w:rFonts w:ascii="Cambria Math" w:hAnsi="Cambria Math"/>
                            <w:b w:val="0"/>
                            <w:bCs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>
                            <m:sty m:val="bi"/>
                          </m:rPr>
                          <m:t>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rPr>
                            <m:sty m:val="bi"/>
                          </m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>
                        <m:sty m:val="bi"/>
                      </m:rPr>
                      <m:t>=0</m:t>
                    </m:r>
                  </m:oMath>
                  <w:r>
                    <w:rPr>
                      <w:b w:val="0"/>
                      <w:bCs/>
                      <w:sz w:val="18"/>
                      <w:szCs w:val="18"/>
                    </w:rPr>
                  </w:r>
                  <w:r>
                    <w:rPr>
                      <w:b w:val="0"/>
                      <w:bCs/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right w:val="none" w:color="000000" w:sz="4" w:space="0"/>
                  </w:tcBorders>
                  <w:tcW w:w="4339" w:type="dxa"/>
                  <w:textDirection w:val="lrTb"/>
                  <w:noWrap w:val="false"/>
                </w:tcPr>
                <w:p>
                  <w:pPr>
                    <w:pStyle w:val="921"/>
                    <w:jc w:val="left"/>
                    <w:spacing w:before="40" w:after="40"/>
                    <w:rPr>
                      <w:b w:val="0"/>
                      <w:sz w:val="18"/>
                      <w:szCs w:val="18"/>
                    </w:rPr>
                  </w:pPr>
                  <w:r>
                    <w:rPr>
                      <w:b w:val="0"/>
                      <w:sz w:val="18"/>
                      <w:szCs w:val="18"/>
                    </w:rPr>
                    <w:t xml:space="preserve">результат оценки финансового состояния (устойчивости):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менее 0,45 баллов – Кризисное финансовое состояние</w:t>
                  </w:r>
                  <w:r>
                    <w:rPr>
                      <w:b w:val="0"/>
                      <w:sz w:val="18"/>
                      <w:szCs w:val="18"/>
                    </w:rPr>
                  </w:r>
                  <w:r>
                    <w:rPr>
                      <w:b w:val="0"/>
                      <w:sz w:val="18"/>
                      <w:szCs w:val="18"/>
                    </w:rPr>
                  </w:r>
                </w:p>
                <w:p>
                  <w:pPr>
                    <w:pStyle w:val="921"/>
                    <w:jc w:val="left"/>
                    <w:spacing w:before="40" w:after="40"/>
                    <w:rPr>
                      <w:b w:val="0"/>
                      <w:i/>
                      <w:iCs/>
                      <w:sz w:val="18"/>
                      <w:szCs w:val="18"/>
                    </w:rPr>
                  </w:pPr>
                  <w:r>
                    <w:rPr>
                      <w:b w:val="0"/>
                      <w:i/>
                      <w:iCs/>
                      <w:sz w:val="18"/>
                      <w:szCs w:val="18"/>
                    </w:rPr>
                    <w:t xml:space="preserve">или</w:t>
                  </w:r>
                  <w:r>
                    <w:rPr>
                      <w:b w:val="0"/>
                      <w:i/>
                      <w:iCs/>
                      <w:sz w:val="18"/>
                      <w:szCs w:val="18"/>
                    </w:rPr>
                  </w:r>
                  <w:r>
                    <w:rPr>
                      <w:b w:val="0"/>
                      <w:i/>
                      <w:iCs/>
                      <w:sz w:val="18"/>
                      <w:szCs w:val="18"/>
                    </w:rPr>
                  </w:r>
                </w:p>
                <w:p>
                  <w:pPr>
                    <w:pStyle w:val="921"/>
                    <w:jc w:val="left"/>
                    <w:spacing w:before="40" w:after="40"/>
                    <w:rPr>
                      <w:b w:val="0"/>
                      <w:sz w:val="18"/>
                      <w:szCs w:val="18"/>
                    </w:rPr>
                  </w:pPr>
                  <w:r>
                    <w:rPr>
                      <w:b w:val="0"/>
                      <w:sz w:val="18"/>
                      <w:szCs w:val="18"/>
                    </w:rPr>
                    <w:t xml:space="preserve">в случае отсутствия исходных данных для оценки финансового состояния Участника,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в том числе если он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явля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ется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:</w:t>
                  </w:r>
                  <w:r>
                    <w:rPr>
                      <w:b w:val="0"/>
                      <w:sz w:val="18"/>
                      <w:szCs w:val="18"/>
                    </w:rPr>
                  </w:r>
                  <w:r>
                    <w:rPr>
                      <w:b w:val="0"/>
                      <w:sz w:val="18"/>
                      <w:szCs w:val="18"/>
                    </w:rPr>
                  </w:r>
                </w:p>
                <w:p>
                  <w:pPr>
                    <w:pStyle w:val="921"/>
                    <w:numPr>
                      <w:ilvl w:val="0"/>
                      <w:numId w:val="20"/>
                    </w:numPr>
                    <w:ind w:left="142" w:hanging="142"/>
                    <w:jc w:val="left"/>
                    <w:spacing w:before="40" w:after="40"/>
                    <w:rPr>
                      <w:b w:val="0"/>
                      <w:sz w:val="18"/>
                      <w:szCs w:val="18"/>
                    </w:rPr>
                  </w:pPr>
                  <w:r>
                    <w:rPr>
                      <w:b w:val="0"/>
                      <w:sz w:val="18"/>
                      <w:szCs w:val="18"/>
                    </w:rPr>
                    <w:t xml:space="preserve">вновь созданным юридическим лицом, которое на дату подачи заявки на участие в закупке в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 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соответствии с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законодательством не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предоставил в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налоговые органы бухгалтерскую (финансовую) отчетность за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 </w:t>
                  </w:r>
                  <w:r>
                    <w:rPr>
                      <w:b w:val="0"/>
                      <w:sz w:val="18"/>
                      <w:szCs w:val="18"/>
                    </w:rPr>
                    <w:t xml:space="preserve">завершенный финансовый год;</w:t>
                  </w:r>
                  <w:r>
                    <w:rPr>
                      <w:b w:val="0"/>
                      <w:sz w:val="18"/>
                      <w:szCs w:val="18"/>
                    </w:rPr>
                  </w:r>
                  <w:r>
                    <w:rPr>
                      <w:b w:val="0"/>
                      <w:sz w:val="18"/>
                      <w:szCs w:val="18"/>
                    </w:rPr>
                  </w:r>
                </w:p>
                <w:p>
                  <w:pPr>
                    <w:pStyle w:val="921"/>
                    <w:numPr>
                      <w:ilvl w:val="0"/>
                      <w:numId w:val="20"/>
                    </w:numPr>
                    <w:ind w:left="142" w:hanging="142"/>
                    <w:jc w:val="left"/>
                    <w:keepNext w:val="0"/>
                    <w:spacing w:before="40" w:after="40"/>
                    <w:rPr>
                      <w:b w:val="0"/>
                      <w:sz w:val="18"/>
                      <w:szCs w:val="18"/>
                    </w:rPr>
                  </w:pPr>
                  <w:r>
                    <w:rPr>
                      <w:b w:val="0"/>
                      <w:sz w:val="18"/>
                      <w:szCs w:val="18"/>
                    </w:rPr>
                    <w:t xml:space="preserve">физическим лицом (индивидуальным предпринимателем и (или) применяющим специальный налоговый режим «Налог на профессиональный доход»), не ведущим бухгалтерскую (финансовую) отчетность;</w:t>
                  </w:r>
                  <w:r>
                    <w:rPr>
                      <w:b w:val="0"/>
                      <w:sz w:val="18"/>
                      <w:szCs w:val="18"/>
                    </w:rPr>
                  </w:r>
                  <w:r>
                    <w:rPr>
                      <w:b w:val="0"/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left w:val="none" w:color="000000" w:sz="4" w:space="0"/>
                    <w:bottom w:val="single" w:color="7F7F7F" w:themeColor="text1" w:themeTint="80" w:sz="4" w:space="0"/>
                  </w:tcBorders>
                  <w:tcW w:w="795" w:type="dxa"/>
                  <w:textDirection w:val="lrTb"/>
                  <w:noWrap w:val="false"/>
                </w:tcPr>
                <w:p>
                  <w:pPr>
                    <w:pStyle w:val="921"/>
                    <w:jc w:val="left"/>
                    <w:spacing w:before="40" w:after="40"/>
                    <w:rPr>
                      <w:sz w:val="18"/>
                      <w:szCs w:val="18"/>
                    </w:rPr>
                  </w:pPr>
                  <w:r/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/>
                          <m:t>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rPr/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=3</m:t>
                    </m:r>
                  </m:oMath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bottom w:val="single" w:color="7F7F7F" w:themeColor="text1" w:themeTint="80" w:sz="4" w:space="0"/>
                    <w:right w:val="none" w:color="000000" w:sz="4" w:space="0"/>
                  </w:tcBorders>
                  <w:tcW w:w="4339" w:type="dxa"/>
                  <w:textDirection w:val="lrTb"/>
                  <w:noWrap w:val="false"/>
                </w:tcPr>
                <w:p>
                  <w:pPr>
                    <w:pStyle w:val="921"/>
                    <w:jc w:val="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результат оценки финансового состояния (устойчивости):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 xml:space="preserve">от</w:t>
                  </w:r>
                  <w:r>
                    <w:rPr>
                      <w:sz w:val="18"/>
                      <w:szCs w:val="18"/>
                    </w:rPr>
                    <w:t xml:space="preserve"> </w:t>
                  </w:r>
                  <w:r>
                    <w:rPr>
                      <w:sz w:val="18"/>
                      <w:szCs w:val="18"/>
                    </w:rPr>
                    <w:t xml:space="preserve">0,45</w:t>
                  </w:r>
                  <w:r>
                    <w:rPr>
                      <w:sz w:val="18"/>
                      <w:szCs w:val="18"/>
                    </w:rPr>
                    <w:t xml:space="preserve"> </w:t>
                  </w:r>
                  <w:r>
                    <w:rPr>
                      <w:sz w:val="18"/>
                      <w:szCs w:val="18"/>
                    </w:rPr>
                    <w:t xml:space="preserve">баллов включительно до</w:t>
                  </w:r>
                  <w:r>
                    <w:rPr>
                      <w:sz w:val="18"/>
                      <w:szCs w:val="18"/>
                    </w:rPr>
                    <w:t xml:space="preserve"> </w:t>
                  </w:r>
                  <w:r>
                    <w:rPr>
                      <w:sz w:val="18"/>
                      <w:szCs w:val="18"/>
                    </w:rPr>
                    <w:t xml:space="preserve">0,90 баллов включительно – Неустойчивое финансовое состояние;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  <w:tr>
              <w:tblPrEx/>
              <w:trPr/>
              <w:tc>
                <w:tcPr>
                  <w:tcBorders>
                    <w:left w:val="none" w:color="000000" w:sz="4" w:space="0"/>
                    <w:bottom w:val="none" w:color="000000" w:sz="4" w:space="0"/>
                  </w:tcBorders>
                  <w:tcW w:w="795" w:type="dxa"/>
                  <w:textDirection w:val="lrTb"/>
                  <w:noWrap w:val="false"/>
                </w:tcPr>
                <w:p>
                  <w:pPr>
                    <w:pStyle w:val="921"/>
                    <w:jc w:val="left"/>
                    <w:spacing w:before="40" w:after="40"/>
                    <w:rPr>
                      <w:sz w:val="18"/>
                      <w:szCs w:val="18"/>
                    </w:rPr>
                  </w:pPr>
                  <w:r/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rPr/>
                          <m:t>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/>
                          </w:rPr>
                          <m:rPr/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18"/>
                        <w:szCs w:val="18"/>
                      </w:rPr>
                      <m:rPr/>
                      <m:t>=5</m:t>
                    </m:r>
                  </m:oMath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  <w:tc>
                <w:tcPr>
                  <w:tcBorders>
                    <w:bottom w:val="none" w:color="000000" w:sz="4" w:space="0"/>
                    <w:right w:val="none" w:color="000000" w:sz="4" w:space="0"/>
                  </w:tcBorders>
                  <w:tcW w:w="4339" w:type="dxa"/>
                  <w:textDirection w:val="lrTb"/>
                  <w:noWrap w:val="false"/>
                </w:tcPr>
                <w:p>
                  <w:pPr>
                    <w:pStyle w:val="921"/>
                    <w:jc w:val="left"/>
                    <w:spacing w:before="40"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результат оценки финансового состояния (устойчивости):</w:t>
                  </w:r>
                  <w:r>
                    <w:rPr>
                      <w:sz w:val="18"/>
                      <w:szCs w:val="18"/>
                    </w:rPr>
                    <w:t xml:space="preserve"> б</w:t>
                  </w:r>
                  <w:r>
                    <w:rPr>
                      <w:sz w:val="18"/>
                      <w:szCs w:val="18"/>
                    </w:rPr>
                    <w:t xml:space="preserve">олее 0,90</w:t>
                  </w:r>
                  <w:r>
                    <w:rPr>
                      <w:sz w:val="18"/>
                      <w:szCs w:val="18"/>
                    </w:rPr>
                    <w:t xml:space="preserve"> </w:t>
                  </w:r>
                  <w:r>
                    <w:rPr>
                      <w:sz w:val="18"/>
                      <w:szCs w:val="18"/>
                    </w:rPr>
                    <w:t xml:space="preserve">баллов – Удовлетворительное финансовое состояние</w:t>
                  </w:r>
                  <w:r>
                    <w:rPr>
                      <w:sz w:val="18"/>
                      <w:szCs w:val="18"/>
                    </w:rPr>
                    <w:t xml:space="preserve">,</w:t>
                  </w:r>
                  <w:r>
                    <w:rPr>
                      <w:sz w:val="18"/>
                      <w:szCs w:val="18"/>
                    </w:rPr>
                  </w:r>
                  <w:r>
                    <w:rPr>
                      <w:sz w:val="18"/>
                      <w:szCs w:val="18"/>
                    </w:rPr>
                  </w:r>
                </w:p>
              </w:tc>
            </w:tr>
          </w:tbl>
          <w:p>
            <w:pPr>
              <w:pStyle w:val="921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где: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21"/>
              <w:jc w:val="left"/>
              <w:spacing w:before="40" w:after="40"/>
              <w:rPr>
                <w:sz w:val="18"/>
                <w:szCs w:val="18"/>
              </w:rPr>
            </w:pPr>
            <w:r/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rPr/>
                    <m:t>Б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  <w:lang w:val="en-US"/>
                    </w:rPr>
                    <m:rPr/>
                    <m:t>i</m:t>
                  </m:r>
                </m:sub>
              </m:sSub>
            </m:oMath>
            <w:r>
              <w:rPr>
                <w:sz w:val="18"/>
                <w:szCs w:val="18"/>
              </w:rPr>
              <w:t xml:space="preserve"> – </w:t>
            </w:r>
            <w:r>
              <w:rPr>
                <w:sz w:val="18"/>
                <w:szCs w:val="18"/>
              </w:rPr>
              <w:t xml:space="preserve">рассчитанная</w:t>
            </w:r>
            <w:r>
              <w:rPr>
                <w:sz w:val="18"/>
                <w:szCs w:val="18"/>
              </w:rPr>
              <w:t xml:space="preserve"> оценка предпочтительности по</w:t>
            </w:r>
            <w:r>
              <w:rPr>
                <w:sz w:val="18"/>
                <w:szCs w:val="18"/>
              </w:rPr>
              <w:t xml:space="preserve"> </w:t>
            </w:r>
            <w:r>
              <w:rPr>
                <w:sz w:val="18"/>
                <w:szCs w:val="18"/>
              </w:rPr>
              <w:t xml:space="preserve">частному критерию оценки в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баллах</w:t>
            </w:r>
            <w:r>
              <w:rPr>
                <w:sz w:val="18"/>
                <w:szCs w:val="18"/>
              </w:rPr>
              <w:t xml:space="preserve">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21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Шкала оценок от 0 до 5 баллов.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921"/>
              <w:jc w:val="left"/>
              <w:spacing w:before="40" w:after="4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(В случае участия в закупке Генерального подрядчика – балл по данному критерию присваивается исходя из оценки финансового состояния Генерального подрядчика без учета субподрядчиков.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921"/>
              <w:jc w:val="left"/>
              <w:spacing w:before="40" w:after="4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В случае участия в закупке Коллективного участника – балл по данному критерию присваивается исходя из средневзвешенной оценки финансового состояния всех членов такого </w:t>
            </w:r>
            <w:r>
              <w:rPr>
                <w:i/>
                <w:iCs/>
                <w:sz w:val="18"/>
                <w:szCs w:val="18"/>
              </w:rPr>
              <w:t xml:space="preserve">Коллективного участника</w:t>
            </w:r>
            <w:r>
              <w:rPr>
                <w:i/>
                <w:iCs/>
                <w:sz w:val="18"/>
                <w:szCs w:val="18"/>
              </w:rPr>
              <w:t xml:space="preserve">*</w:t>
            </w:r>
            <w:r>
              <w:rPr>
                <w:i/>
                <w:iCs/>
                <w:sz w:val="18"/>
                <w:szCs w:val="18"/>
              </w:rPr>
              <w:t xml:space="preserve">, где весовая значимость показателя финансового состояния (устойчивости) каждого члена коллективного участника определяется на основе объема поставляемой им продукции согласно Плану распределения объемов поставки продукции (форма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10</w:t>
            </w:r>
            <w:r>
              <w:rPr>
                <w:i/>
                <w:iCs/>
                <w:sz w:val="18"/>
                <w:szCs w:val="18"/>
              </w:rPr>
              <w:t xml:space="preserve">) (</w:t>
            </w:r>
            <w:hyperlink w:tooltip="#Прил04_ФормыЗаявки" w:anchor="Прил04_ФормыЗаявки" w:history="1">
              <w:r>
                <w:rPr>
                  <w:rStyle w:val="924"/>
                  <w:i/>
                  <w:iCs/>
                  <w:sz w:val="18"/>
                  <w:szCs w:val="18"/>
                </w:rPr>
                <w:t xml:space="preserve">Приложение №</w:t>
              </w:r>
              <w:r>
                <w:rPr>
                  <w:rStyle w:val="924"/>
                  <w:i/>
                  <w:iCs/>
                  <w:sz w:val="18"/>
                  <w:szCs w:val="18"/>
                </w:rPr>
                <w:t xml:space="preserve"> </w:t>
              </w:r>
              <w:r>
                <w:rPr>
                  <w:rStyle w:val="924"/>
                  <w:i/>
                  <w:iCs/>
                  <w:sz w:val="18"/>
                  <w:szCs w:val="18"/>
                </w:rPr>
                <w:t xml:space="preserve">4</w:t>
              </w:r>
            </w:hyperlink>
            <w:r>
              <w:rPr>
                <w:i/>
                <w:iCs/>
                <w:sz w:val="18"/>
                <w:szCs w:val="18"/>
              </w:rPr>
              <w:t xml:space="preserve">), представленному в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заявке такого Коллективного участника на</w:t>
            </w:r>
            <w:r>
              <w:rPr>
                <w:i/>
                <w:iCs/>
                <w:sz w:val="18"/>
                <w:szCs w:val="18"/>
              </w:rPr>
              <w:t xml:space="preserve"> </w:t>
            </w:r>
            <w:r>
              <w:rPr>
                <w:i/>
                <w:iCs/>
                <w:sz w:val="18"/>
                <w:szCs w:val="18"/>
              </w:rPr>
              <w:t xml:space="preserve">участие в закупке.)</w:t>
            </w:r>
            <w:r>
              <w:rPr>
                <w:i/>
                <w:iCs/>
                <w:sz w:val="18"/>
                <w:szCs w:val="18"/>
              </w:rPr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921"/>
              <w:jc w:val="left"/>
              <w:spacing w:before="40" w:after="40"/>
              <w:rPr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* Примечание: В случае отсутствия в отношении какого-либо члена Коллективного участника исходных данных для оценки (в соответстви</w:t>
            </w:r>
            <w:r>
              <w:rPr>
                <w:i/>
                <w:iCs/>
                <w:sz w:val="18"/>
                <w:szCs w:val="18"/>
              </w:rPr>
              <w:t xml:space="preserve">и с Приложением 4 к Положению об аккредитации) его финансового состояния (устойчивости), при расчете средневзвешенной оценки Коллективного участника в отношении такого члена (в формуле) применяется значение оценки финансового состояния, равное 0,00 баллов.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gridSpan w:val="5"/>
            <w:shd w:val="clear" w:color="ffffff" w:fill="ffffff"/>
            <w:tcW w:w="5232" w:type="dxa"/>
            <w:textDirection w:val="lrTb"/>
            <w:noWrap/>
          </w:tcPr>
          <w:p>
            <w:pPr>
              <w:numPr>
                <w:ilvl w:val="7"/>
                <w:numId w:val="0"/>
              </w:numPr>
              <w:jc w:val="right"/>
              <w:spacing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Итоговая оценка предпочтительности заявки: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</w:tc>
        <w:tc>
          <w:tcPr>
            <w:gridSpan w:val="4"/>
            <w:shd w:val="clear" w:color="ffffff" w:fill="ffffff"/>
            <w:tcW w:w="10219" w:type="dxa"/>
            <w:textDirection w:val="lrTb"/>
            <w:noWrap/>
          </w:tcPr>
          <w:p>
            <w:pPr>
              <w:numPr>
                <w:ilvl w:val="6"/>
                <w:numId w:val="0"/>
              </w:numPr>
              <w:jc w:val="left"/>
              <w:spacing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Расчет итоговой оценки предпочтительности </w:t>
            </w:r>
            <w:r>
              <w:rPr>
                <w:rFonts w:eastAsia="Calibri"/>
                <w:i/>
                <w:sz w:val="20"/>
                <w:lang w:val="en-US"/>
              </w:rPr>
              <w:t xml:space="preserve">i</w:t>
            </w:r>
            <w:r>
              <w:rPr>
                <w:rFonts w:eastAsia="Calibri"/>
                <w:sz w:val="20"/>
              </w:rPr>
              <w:t xml:space="preserve">-ой заявки: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center"/>
              <w:keepNext/>
              <w:spacing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keepNext/>
              <w:spacing w:line="240" w:lineRule="auto"/>
              <w:rPr>
                <w:rFonts w:eastAsia="Calibri"/>
                <w:sz w:val="20"/>
              </w:rPr>
            </w:pPr>
            <w:r/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 w:eastAsia="Calibri"/>
                        <w:i/>
                        <w:sz w:val="20"/>
                      </w:rPr>
                    </m:ctrlPr>
                  </m:sSubPr>
                  <m:e>
                    <m:r>
                      <w:rPr>
                        <w:rFonts w:ascii="Cambria Math" w:hAnsi="Cambria Math" w:eastAsia="Calibri"/>
                        <w:sz w:val="20"/>
                      </w:rPr>
                      <m:rPr/>
                      <m:t>Б</m:t>
                    </m:r>
                  </m:e>
                  <m:sub>
                    <m:r>
                      <w:rPr>
                        <w:rFonts w:ascii="Cambria Math" w:hAnsi="Cambria Math" w:eastAsia="Calibri"/>
                        <w:sz w:val="20"/>
                      </w:rPr>
                      <m:rPr/>
                      <m:t>ИТОГ</m:t>
                    </m:r>
                  </m:sub>
                </m:sSub>
                <m:r>
                  <w:rPr>
                    <w:rFonts w:ascii="Cambria Math" w:hAnsi="Cambria Math" w:eastAsia="Calibri"/>
                    <w:sz w:val="20"/>
                  </w:rPr>
                  <m:rPr/>
                  <m:t>=</m:t>
                </m:r>
                <m:nary>
                  <m:naryPr>
                    <m:chr m:val="∑"/>
                    <m:grow m:val="off"/>
                    <m:limLoc m:val="undOvr"/>
                    <m:subHide m:val="on"/>
                    <m:supHide m:val="on"/>
                    <m:ctrlPr>
                      <w:rPr>
                        <w:rFonts w:ascii="Cambria Math" w:hAnsi="Cambria Math" w:eastAsia="Calibri"/>
                        <w:i/>
                        <w:sz w:val="20"/>
                      </w:rPr>
                    </m:ctrlPr>
                  </m:naryPr>
                  <m:sub/>
                  <m:sup/>
                  <m:e>
                    <m:d>
                      <m:dPr>
                        <m:ctrlPr>
                          <w:rPr>
                            <w:rFonts w:ascii="Cambria Math" w:hAnsi="Cambria Math" w:eastAsia="Calibri"/>
                            <w:i/>
                            <w:sz w:val="20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 w:eastAsia="Calibri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eastAsia="Calibri"/>
                                <w:sz w:val="20"/>
                              </w:rPr>
                              <m:rPr/>
                              <m:t>Б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libri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</w:rPr>
                                  <m:rPr/>
                                  <m:t>1 уровень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  <w:lang w:val="en-US"/>
                                  </w:rPr>
                                  <m:rPr/>
                                  <m:t>k</m:t>
                                </m:r>
                              </m:sub>
                            </m:sSub>
                          </m:sub>
                        </m:sSub>
                        <m:r>
                          <w:rPr>
                            <w:rFonts w:ascii="Cambria Math" w:hAnsi="Cambria Math" w:eastAsia="Calibri"/>
                            <w:sz w:val="20"/>
                          </w:rPr>
                          <m:rPr/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 w:eastAsia="Calibri"/>
                                <w:i/>
                                <w:sz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eastAsia="Calibri"/>
                                <w:sz w:val="20"/>
                              </w:rPr>
                              <m:rPr/>
                              <m:t>В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 w:eastAsia="Calibri"/>
                                    <w:i/>
                                    <w:sz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</w:rPr>
                                  <m:rPr/>
                                  <m:t>1 уровень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eastAsia="Calibri"/>
                                    <w:sz w:val="20"/>
                                    <w:lang w:val="en-US"/>
                                  </w:rPr>
                                  <m:rPr/>
                                  <m:t>k</m:t>
                                </m:r>
                              </m:sub>
                            </m:sSub>
                          </m:sub>
                        </m:sSub>
                      </m:e>
                    </m:d>
                  </m:e>
                </m:nary>
                <m:r>
                  <w:rPr>
                    <w:rFonts w:ascii="Cambria Math" w:hAnsi="Cambria Math" w:eastAsia="Calibri"/>
                    <w:sz w:val="20"/>
                  </w:rPr>
                  <m:rPr/>
                  <m:t>,</m:t>
                </m:r>
              </m:oMath>
            </m:oMathPara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keepNext/>
              <w:spacing w:line="240" w:lineRule="auto"/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где: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Б</w:t>
            </w:r>
            <w:r>
              <w:rPr>
                <w:rFonts w:eastAsia="Calibri"/>
                <w:sz w:val="20"/>
                <w:vertAlign w:val="subscript"/>
              </w:rPr>
              <w:t xml:space="preserve">ИТОГ</w:t>
            </w:r>
            <w:r>
              <w:rPr>
                <w:rFonts w:eastAsia="Calibri"/>
                <w:sz w:val="20"/>
              </w:rPr>
              <w:tab/>
              <w:t xml:space="preserve">–</w:t>
            </w:r>
            <w:r>
              <w:rPr>
                <w:rFonts w:eastAsia="Calibri"/>
                <w:sz w:val="20"/>
              </w:rPr>
              <w:tab/>
              <w:t xml:space="preserve">рассчитанная итоговая оценка предпочтительности в баллах;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Б</w:t>
            </w:r>
            <w:r>
              <w:rPr>
                <w:rFonts w:eastAsia="Calibri"/>
                <w:sz w:val="20"/>
                <w:vertAlign w:val="subscript"/>
              </w:rPr>
              <w:t xml:space="preserve">1</w:t>
            </w:r>
            <w:r>
              <w:rPr>
                <w:rFonts w:eastAsia="Calibri"/>
                <w:sz w:val="20"/>
                <w:vertAlign w:val="subscript"/>
              </w:rPr>
              <w:t xml:space="preserve"> уровень </w:t>
            </w:r>
            <w:r>
              <w:rPr>
                <w:rFonts w:eastAsia="Calibri"/>
                <w:sz w:val="20"/>
                <w:vertAlign w:val="subscript"/>
              </w:rPr>
              <w:t xml:space="preserve">k</w:t>
            </w:r>
            <w:r>
              <w:rPr>
                <w:rFonts w:eastAsia="Calibri"/>
                <w:sz w:val="20"/>
              </w:rPr>
              <w:tab/>
              <w:t xml:space="preserve">–</w:t>
            </w:r>
            <w:r>
              <w:rPr>
                <w:rFonts w:eastAsia="Calibri"/>
                <w:sz w:val="20"/>
              </w:rPr>
              <w:tab/>
              <w:t xml:space="preserve">оценка предпочтительности по k-тому критерию оценки первого уровня в баллах;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20"/>
              </w:rPr>
            </w:pPr>
            <w:r>
              <w:rPr>
                <w:rFonts w:eastAsia="Calibri"/>
                <w:sz w:val="20"/>
              </w:rPr>
              <w:t xml:space="preserve">В</w:t>
            </w:r>
            <w:r>
              <w:rPr>
                <w:rFonts w:eastAsia="Calibri"/>
                <w:sz w:val="20"/>
                <w:vertAlign w:val="subscript"/>
              </w:rPr>
              <w:t xml:space="preserve">1</w:t>
            </w:r>
            <w:r>
              <w:rPr>
                <w:rFonts w:eastAsia="Calibri"/>
                <w:sz w:val="20"/>
                <w:vertAlign w:val="subscript"/>
              </w:rPr>
              <w:t xml:space="preserve"> уровень </w:t>
            </w:r>
            <w:r>
              <w:rPr>
                <w:rFonts w:eastAsia="Calibri"/>
                <w:sz w:val="20"/>
                <w:vertAlign w:val="subscript"/>
              </w:rPr>
              <w:t xml:space="preserve">k</w:t>
            </w:r>
            <w:r>
              <w:rPr>
                <w:rFonts w:eastAsia="Calibri"/>
                <w:sz w:val="20"/>
              </w:rPr>
              <w:tab/>
              <w:t xml:space="preserve">–</w:t>
            </w:r>
            <w:r>
              <w:rPr>
                <w:rFonts w:eastAsia="Calibri"/>
                <w:sz w:val="20"/>
              </w:rPr>
              <w:tab/>
              <w:t xml:space="preserve">значимость k-ого критерия оценки первого уровня, выраженная в диапазоне от 1% до 100% (или от 0,01 до 1,00) – вес k-ого критерия оценки первого уровня.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  <w:p>
            <w:pPr>
              <w:numPr>
                <w:ilvl w:val="6"/>
                <w:numId w:val="0"/>
              </w:numPr>
              <w:jc w:val="left"/>
              <w:spacing w:line="240" w:lineRule="auto"/>
              <w:tabs>
                <w:tab w:val="left" w:pos="742" w:leader="none"/>
                <w:tab w:val="left" w:pos="1167" w:leader="none"/>
              </w:tabs>
              <w:rPr>
                <w:rFonts w:eastAsia="Calibri"/>
                <w:sz w:val="20"/>
              </w:rPr>
            </w:pPr>
            <w:r>
              <w:rPr>
                <w:i/>
                <w:iCs/>
                <w:sz w:val="18"/>
                <w:szCs w:val="18"/>
              </w:rPr>
              <w:t xml:space="preserve">Расчет значений баллов по частным / обобщенным критериям оценки, а также итогового балла (итоговой оценки предпочтительности) производится до четвертого знака после запятой (в соответствии с математическими правилами округления).</w:t>
            </w:r>
            <w:r>
              <w:rPr>
                <w:rFonts w:eastAsia="Calibri"/>
                <w:sz w:val="20"/>
              </w:rPr>
            </w:r>
            <w:r>
              <w:rPr>
                <w:rFonts w:eastAsia="Calibri"/>
                <w:sz w:val="20"/>
              </w:rPr>
            </w:r>
          </w:p>
        </w:tc>
      </w:tr>
    </w:tbl>
    <w:p>
      <w:pPr>
        <w:pStyle w:val="903"/>
        <w:numPr>
          <w:ilvl w:val="0"/>
          <w:numId w:val="0"/>
        </w:numPr>
        <w:jc w:val="left"/>
        <w:spacing w:before="40" w:after="40" w:line="240" w:lineRule="auto"/>
        <w:rPr>
          <w:sz w:val="24"/>
          <w:szCs w:val="18"/>
          <w:lang w:eastAsia="ru-RU"/>
        </w:rPr>
      </w:pPr>
      <w:r/>
      <w:bookmarkStart w:id="1" w:name="_GoBack"/>
      <w:r/>
      <w:bookmarkEnd w:id="1"/>
      <w:r>
        <w:rPr>
          <w:sz w:val="24"/>
          <w:szCs w:val="18"/>
          <w:lang w:eastAsia="ru-RU"/>
        </w:rPr>
      </w:r>
      <w:r>
        <w:rPr>
          <w:sz w:val="24"/>
          <w:szCs w:val="18"/>
          <w:lang w:eastAsia="ru-RU"/>
        </w:rPr>
      </w:r>
    </w:p>
    <w:sectPr>
      <w:footnotePr/>
      <w:endnotePr/>
      <w:type w:val="nextPage"/>
      <w:pgSz w:w="16838" w:h="11906" w:orient="landscape"/>
      <w:pgMar w:top="567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Calibri">
    <w:panose1 w:val="020F05020202040302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  <w:footnote w:id="2">
    <w:p>
      <w:pPr>
        <w:pStyle w:val="922"/>
      </w:pPr>
      <w:r>
        <w:rPr>
          <w:rStyle w:val="883"/>
        </w:rPr>
        <w:footnoteRef/>
      </w:r>
      <w:r>
        <w:tab/>
      </w:r>
      <w:r>
        <w:t xml:space="preserve">В Положении об аккредитации используется термин Заявитель.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910"/>
      <w:isLgl w:val="false"/>
      <w:suff w:val="tab"/>
      <w:lvlText w:val="%1."/>
      <w:lvlJc w:val="left"/>
      <w:pPr>
        <w:ind w:left="1134" w:hanging="1134"/>
      </w:pPr>
      <w:rPr>
        <w:rFonts w:hint="default"/>
        <w:b w:val="0"/>
      </w:rPr>
    </w:lvl>
    <w:lvl w:ilvl="1">
      <w:start w:val="1"/>
      <w:numFmt w:val="none"/>
      <w:pStyle w:val="911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pStyle w:val="912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1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pStyle w:val="899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90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905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902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90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 w:cs="Times New Roman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 w:cs="Times New Roman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/>
      </w:rPr>
    </w:lvl>
    <w:lvl w:ilvl="5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  <w:lvl w:ilvl="6">
      <w:start w:val="1"/>
      <w:numFmt w:val="none"/>
      <w:lvlRestart w:val="0"/>
      <w:isLgl w:val="false"/>
      <w:suff w:val="nothing"/>
      <w:lvlText w:val=""/>
      <w:lvlJc w:val="left"/>
      <w:pPr>
        <w:ind w:left="1701"/>
      </w:pPr>
      <w:rPr>
        <w:rFonts w:hint="default" w:cs="Times New Roman"/>
      </w:rPr>
    </w:lvl>
    <w:lvl w:ilvl="7">
      <w:start w:val="1"/>
      <w:numFmt w:val="none"/>
      <w:lvlRestart w:val="0"/>
      <w:isLgl w:val="false"/>
      <w:suff w:val="nothing"/>
      <w:lvlText w:val=""/>
      <w:lvlJc w:val="left"/>
      <w:pPr/>
      <w:rPr>
        <w:rFonts w:hint="default" w:cs="Times New Roman"/>
      </w:rPr>
    </w:lvl>
    <w:lvl w:ilvl="8">
      <w:start w:val="1"/>
      <w:numFmt w:val="none"/>
      <w:lvlRestart w:val="0"/>
      <w:isLgl w:val="false"/>
      <w:suff w:val="nothing"/>
      <w:lvlText w:val=""/>
      <w:lvlJc w:val="left"/>
      <w:pPr>
        <w:ind w:left="1134"/>
      </w:pPr>
      <w:rPr>
        <w:rFonts w:hint="default" w:cs="Times New Roman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  <w:tabs>
          <w:tab w:val="num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  <w:tabs>
          <w:tab w:val="num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  <w:tabs>
          <w:tab w:val="num" w:pos="0" w:leader="none"/>
        </w:tabs>
      </w:p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  <w:tabs>
          <w:tab w:val="num" w:pos="0" w:leader="none"/>
        </w:tabs>
      </w:p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  <w:tabs>
          <w:tab w:val="num" w:pos="0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  <w:lvl w:ilvl="6">
      <w:start w:val="1"/>
      <w:numFmt w:val="none"/>
      <w:isLgl w:val="false"/>
      <w:suff w:val="nothing"/>
      <w:lvlText w:val=""/>
      <w:lvlJc w:val="left"/>
      <w:pPr>
        <w:ind w:left="1701" w:firstLine="0"/>
        <w:tabs>
          <w:tab w:val="num" w:pos="0" w:leader="none"/>
        </w:tabs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none"/>
      <w:isLgl w:val="false"/>
      <w:suff w:val="nothing"/>
      <w:lvlText w:val=""/>
      <w:lvlJc w:val="left"/>
      <w:pPr>
        <w:ind w:left="1134" w:firstLine="0"/>
        <w:tabs>
          <w:tab w:val="num" w:pos="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isLgl w:val="false"/>
      <w:suff w:val="tab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‒"/>
      <w:lvlJc w:val="left"/>
      <w:pPr>
        <w:ind w:left="1036" w:hanging="360"/>
      </w:pPr>
      <w:rPr>
        <w:rFonts w:hint="default" w:ascii="Calibri" w:hAnsi="Calibri"/>
      </w:rPr>
    </w:lvl>
    <w:lvl w:ilvl="1">
      <w:start w:val="1"/>
      <w:numFmt w:val="bullet"/>
      <w:isLgl w:val="false"/>
      <w:suff w:val="tab"/>
      <w:lvlText w:val="o"/>
      <w:lvlJc w:val="left"/>
      <w:pPr>
        <w:ind w:left="1756" w:hanging="360"/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6" w:hanging="360"/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6" w:hanging="360"/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6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9"/>
  </w:num>
  <w:num w:numId="11">
    <w:abstractNumId w:val="1"/>
  </w:num>
  <w:num w:numId="12">
    <w:abstractNumId w:val="5"/>
  </w:num>
  <w:num w:numId="13">
    <w:abstractNumId w:val="2"/>
  </w:num>
  <w:num w:numId="14">
    <w:abstractNumId w:val="3"/>
  </w:num>
  <w:num w:numId="15">
    <w:abstractNumId w:val="7"/>
  </w:num>
  <w:num w:numId="16">
    <w:abstractNumId w:val="10"/>
  </w:num>
  <w:num w:numId="17">
    <w:abstractNumId w:val="11"/>
  </w:num>
  <w:num w:numId="18">
    <w:abstractNumId w:val="12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1" w:default="1">
    <w:name w:val="Normal"/>
    <w:qFormat/>
    <w:pPr>
      <w:ind w:firstLine="56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702" w:default="1">
    <w:name w:val="Default Paragraph Font"/>
    <w:uiPriority w:val="1"/>
    <w:semiHidden/>
    <w:unhideWhenUsed/>
  </w:style>
  <w:style w:type="table" w:styleId="703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4" w:default="1">
    <w:name w:val="No List"/>
    <w:uiPriority w:val="99"/>
    <w:semiHidden/>
    <w:unhideWhenUsed/>
  </w:style>
  <w:style w:type="paragraph" w:styleId="705" w:customStyle="1">
    <w:name w:val="Heading 1"/>
    <w:basedOn w:val="701"/>
    <w:next w:val="701"/>
    <w:link w:val="73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6" w:customStyle="1">
    <w:name w:val="Heading 2"/>
    <w:basedOn w:val="701"/>
    <w:next w:val="701"/>
    <w:link w:val="7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7" w:customStyle="1">
    <w:name w:val="Heading 3"/>
    <w:basedOn w:val="701"/>
    <w:next w:val="701"/>
    <w:link w:val="7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8" w:customStyle="1">
    <w:name w:val="Heading 4"/>
    <w:basedOn w:val="701"/>
    <w:next w:val="701"/>
    <w:link w:val="7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9" w:customStyle="1">
    <w:name w:val="Heading 5"/>
    <w:basedOn w:val="701"/>
    <w:next w:val="701"/>
    <w:link w:val="7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0" w:customStyle="1">
    <w:name w:val="Heading 6"/>
    <w:basedOn w:val="701"/>
    <w:next w:val="701"/>
    <w:link w:val="7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1" w:customStyle="1">
    <w:name w:val="Heading 7"/>
    <w:basedOn w:val="701"/>
    <w:next w:val="701"/>
    <w:link w:val="7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2" w:customStyle="1">
    <w:name w:val="Heading 8"/>
    <w:basedOn w:val="701"/>
    <w:next w:val="701"/>
    <w:link w:val="7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3" w:customStyle="1">
    <w:name w:val="Heading 9"/>
    <w:basedOn w:val="701"/>
    <w:next w:val="701"/>
    <w:link w:val="7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4" w:customStyle="1">
    <w:name w:val="Heading 1 Char"/>
    <w:basedOn w:val="702"/>
    <w:uiPriority w:val="9"/>
    <w:rPr>
      <w:rFonts w:ascii="Arial" w:hAnsi="Arial" w:eastAsia="Arial" w:cs="Arial"/>
      <w:sz w:val="40"/>
      <w:szCs w:val="40"/>
    </w:rPr>
  </w:style>
  <w:style w:type="character" w:styleId="715" w:customStyle="1">
    <w:name w:val="Heading 2 Char"/>
    <w:basedOn w:val="702"/>
    <w:uiPriority w:val="9"/>
    <w:rPr>
      <w:rFonts w:ascii="Arial" w:hAnsi="Arial" w:eastAsia="Arial" w:cs="Arial"/>
      <w:sz w:val="34"/>
    </w:rPr>
  </w:style>
  <w:style w:type="character" w:styleId="716" w:customStyle="1">
    <w:name w:val="Heading 3 Char"/>
    <w:basedOn w:val="702"/>
    <w:uiPriority w:val="9"/>
    <w:rPr>
      <w:rFonts w:ascii="Arial" w:hAnsi="Arial" w:eastAsia="Arial" w:cs="Arial"/>
      <w:sz w:val="30"/>
      <w:szCs w:val="30"/>
    </w:rPr>
  </w:style>
  <w:style w:type="character" w:styleId="717" w:customStyle="1">
    <w:name w:val="Heading 4 Char"/>
    <w:basedOn w:val="702"/>
    <w:uiPriority w:val="9"/>
    <w:rPr>
      <w:rFonts w:ascii="Arial" w:hAnsi="Arial" w:eastAsia="Arial" w:cs="Arial"/>
      <w:b/>
      <w:bCs/>
      <w:sz w:val="26"/>
      <w:szCs w:val="26"/>
    </w:rPr>
  </w:style>
  <w:style w:type="character" w:styleId="718" w:customStyle="1">
    <w:name w:val="Heading 5 Char"/>
    <w:basedOn w:val="702"/>
    <w:uiPriority w:val="9"/>
    <w:rPr>
      <w:rFonts w:ascii="Arial" w:hAnsi="Arial" w:eastAsia="Arial" w:cs="Arial"/>
      <w:b/>
      <w:bCs/>
      <w:sz w:val="24"/>
      <w:szCs w:val="24"/>
    </w:rPr>
  </w:style>
  <w:style w:type="character" w:styleId="719" w:customStyle="1">
    <w:name w:val="Heading 6 Char"/>
    <w:basedOn w:val="702"/>
    <w:uiPriority w:val="9"/>
    <w:rPr>
      <w:rFonts w:ascii="Arial" w:hAnsi="Arial" w:eastAsia="Arial" w:cs="Arial"/>
      <w:b/>
      <w:bCs/>
      <w:sz w:val="22"/>
      <w:szCs w:val="22"/>
    </w:rPr>
  </w:style>
  <w:style w:type="character" w:styleId="720" w:customStyle="1">
    <w:name w:val="Heading 7 Char"/>
    <w:basedOn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1" w:customStyle="1">
    <w:name w:val="Heading 8 Char"/>
    <w:basedOn w:val="702"/>
    <w:uiPriority w:val="9"/>
    <w:rPr>
      <w:rFonts w:ascii="Arial" w:hAnsi="Arial" w:eastAsia="Arial" w:cs="Arial"/>
      <w:i/>
      <w:iCs/>
      <w:sz w:val="22"/>
      <w:szCs w:val="22"/>
    </w:rPr>
  </w:style>
  <w:style w:type="character" w:styleId="722" w:customStyle="1">
    <w:name w:val="Heading 9 Char"/>
    <w:basedOn w:val="702"/>
    <w:uiPriority w:val="9"/>
    <w:rPr>
      <w:rFonts w:ascii="Arial" w:hAnsi="Arial" w:eastAsia="Arial" w:cs="Arial"/>
      <w:i/>
      <w:iCs/>
      <w:sz w:val="21"/>
      <w:szCs w:val="21"/>
    </w:rPr>
  </w:style>
  <w:style w:type="character" w:styleId="723" w:customStyle="1">
    <w:name w:val="Title Char"/>
    <w:basedOn w:val="702"/>
    <w:uiPriority w:val="10"/>
    <w:rPr>
      <w:sz w:val="48"/>
      <w:szCs w:val="48"/>
    </w:rPr>
  </w:style>
  <w:style w:type="character" w:styleId="724" w:customStyle="1">
    <w:name w:val="Subtitle Char"/>
    <w:basedOn w:val="702"/>
    <w:uiPriority w:val="11"/>
    <w:rPr>
      <w:sz w:val="24"/>
      <w:szCs w:val="24"/>
    </w:rPr>
  </w:style>
  <w:style w:type="character" w:styleId="725" w:customStyle="1">
    <w:name w:val="Quote Char"/>
    <w:uiPriority w:val="29"/>
    <w:rPr>
      <w:i/>
    </w:rPr>
  </w:style>
  <w:style w:type="character" w:styleId="726" w:customStyle="1">
    <w:name w:val="Intense Quote Char"/>
    <w:uiPriority w:val="30"/>
    <w:rPr>
      <w:i/>
    </w:rPr>
  </w:style>
  <w:style w:type="character" w:styleId="727" w:customStyle="1">
    <w:name w:val="Header Char"/>
    <w:basedOn w:val="702"/>
    <w:uiPriority w:val="99"/>
  </w:style>
  <w:style w:type="character" w:styleId="728" w:customStyle="1">
    <w:name w:val="Caption Char"/>
    <w:uiPriority w:val="99"/>
  </w:style>
  <w:style w:type="character" w:styleId="729" w:customStyle="1">
    <w:name w:val="Footnote Text Char"/>
    <w:uiPriority w:val="99"/>
    <w:rPr>
      <w:sz w:val="18"/>
    </w:rPr>
  </w:style>
  <w:style w:type="character" w:styleId="730" w:customStyle="1">
    <w:name w:val="Endnote Text Char"/>
    <w:uiPriority w:val="99"/>
    <w:rPr>
      <w:sz w:val="20"/>
    </w:rPr>
  </w:style>
  <w:style w:type="character" w:styleId="731" w:customStyle="1">
    <w:name w:val="Заголовок 1 Знак"/>
    <w:basedOn w:val="702"/>
    <w:link w:val="705"/>
    <w:uiPriority w:val="9"/>
    <w:rPr>
      <w:rFonts w:ascii="Arial" w:hAnsi="Arial" w:eastAsia="Arial" w:cs="Arial"/>
      <w:sz w:val="40"/>
      <w:szCs w:val="40"/>
    </w:rPr>
  </w:style>
  <w:style w:type="character" w:styleId="732" w:customStyle="1">
    <w:name w:val="Заголовок 2 Знак"/>
    <w:basedOn w:val="702"/>
    <w:link w:val="706"/>
    <w:uiPriority w:val="9"/>
    <w:rPr>
      <w:rFonts w:ascii="Arial" w:hAnsi="Arial" w:eastAsia="Arial" w:cs="Arial"/>
      <w:sz w:val="34"/>
    </w:rPr>
  </w:style>
  <w:style w:type="character" w:styleId="733" w:customStyle="1">
    <w:name w:val="Заголовок 3 Знак"/>
    <w:basedOn w:val="702"/>
    <w:link w:val="707"/>
    <w:uiPriority w:val="9"/>
    <w:rPr>
      <w:rFonts w:ascii="Arial" w:hAnsi="Arial" w:eastAsia="Arial" w:cs="Arial"/>
      <w:sz w:val="30"/>
      <w:szCs w:val="30"/>
    </w:rPr>
  </w:style>
  <w:style w:type="character" w:styleId="734" w:customStyle="1">
    <w:name w:val="Заголовок 4 Знак"/>
    <w:basedOn w:val="702"/>
    <w:link w:val="708"/>
    <w:uiPriority w:val="9"/>
    <w:rPr>
      <w:rFonts w:ascii="Arial" w:hAnsi="Arial" w:eastAsia="Arial" w:cs="Arial"/>
      <w:b/>
      <w:bCs/>
      <w:sz w:val="26"/>
      <w:szCs w:val="26"/>
    </w:rPr>
  </w:style>
  <w:style w:type="character" w:styleId="735" w:customStyle="1">
    <w:name w:val="Заголовок 5 Знак"/>
    <w:basedOn w:val="702"/>
    <w:link w:val="709"/>
    <w:uiPriority w:val="9"/>
    <w:rPr>
      <w:rFonts w:ascii="Arial" w:hAnsi="Arial" w:eastAsia="Arial" w:cs="Arial"/>
      <w:b/>
      <w:bCs/>
      <w:sz w:val="24"/>
      <w:szCs w:val="24"/>
    </w:rPr>
  </w:style>
  <w:style w:type="character" w:styleId="736" w:customStyle="1">
    <w:name w:val="Заголовок 6 Знак"/>
    <w:basedOn w:val="702"/>
    <w:link w:val="710"/>
    <w:uiPriority w:val="9"/>
    <w:rPr>
      <w:rFonts w:ascii="Arial" w:hAnsi="Arial" w:eastAsia="Arial" w:cs="Arial"/>
      <w:b/>
      <w:bCs/>
      <w:sz w:val="22"/>
      <w:szCs w:val="22"/>
    </w:rPr>
  </w:style>
  <w:style w:type="character" w:styleId="737" w:customStyle="1">
    <w:name w:val="Заголовок 7 Знак"/>
    <w:basedOn w:val="702"/>
    <w:link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8" w:customStyle="1">
    <w:name w:val="Заголовок 8 Знак"/>
    <w:basedOn w:val="702"/>
    <w:link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739" w:customStyle="1">
    <w:name w:val="Заголовок 9 Знак"/>
    <w:basedOn w:val="702"/>
    <w:link w:val="713"/>
    <w:uiPriority w:val="9"/>
    <w:rPr>
      <w:rFonts w:ascii="Arial" w:hAnsi="Arial" w:eastAsia="Arial" w:cs="Arial"/>
      <w:i/>
      <w:iCs/>
      <w:sz w:val="21"/>
      <w:szCs w:val="21"/>
    </w:rPr>
  </w:style>
  <w:style w:type="paragraph" w:styleId="740">
    <w:name w:val="No Spacing"/>
    <w:uiPriority w:val="1"/>
    <w:qFormat/>
    <w:pPr>
      <w:spacing w:after="0" w:line="240" w:lineRule="auto"/>
    </w:pPr>
  </w:style>
  <w:style w:type="paragraph" w:styleId="741">
    <w:name w:val="Title"/>
    <w:basedOn w:val="701"/>
    <w:next w:val="701"/>
    <w:link w:val="74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2" w:customStyle="1">
    <w:name w:val="Название Знак"/>
    <w:basedOn w:val="702"/>
    <w:link w:val="741"/>
    <w:uiPriority w:val="10"/>
    <w:rPr>
      <w:sz w:val="48"/>
      <w:szCs w:val="48"/>
    </w:rPr>
  </w:style>
  <w:style w:type="paragraph" w:styleId="743">
    <w:name w:val="Subtitle"/>
    <w:basedOn w:val="701"/>
    <w:next w:val="701"/>
    <w:link w:val="744"/>
    <w:uiPriority w:val="11"/>
    <w:qFormat/>
    <w:pPr>
      <w:spacing w:before="200" w:after="200"/>
    </w:pPr>
    <w:rPr>
      <w:sz w:val="24"/>
      <w:szCs w:val="24"/>
    </w:rPr>
  </w:style>
  <w:style w:type="character" w:styleId="744" w:customStyle="1">
    <w:name w:val="Подзаголовок Знак"/>
    <w:basedOn w:val="702"/>
    <w:link w:val="743"/>
    <w:uiPriority w:val="11"/>
    <w:rPr>
      <w:sz w:val="24"/>
      <w:szCs w:val="24"/>
    </w:rPr>
  </w:style>
  <w:style w:type="paragraph" w:styleId="745">
    <w:name w:val="Quote"/>
    <w:basedOn w:val="701"/>
    <w:next w:val="701"/>
    <w:link w:val="746"/>
    <w:uiPriority w:val="29"/>
    <w:qFormat/>
    <w:pPr>
      <w:ind w:left="720" w:right="720"/>
    </w:pPr>
    <w:rPr>
      <w:i/>
    </w:rPr>
  </w:style>
  <w:style w:type="character" w:styleId="746" w:customStyle="1">
    <w:name w:val="Цитата 2 Знак"/>
    <w:link w:val="745"/>
    <w:uiPriority w:val="29"/>
    <w:rPr>
      <w:i/>
    </w:rPr>
  </w:style>
  <w:style w:type="paragraph" w:styleId="747">
    <w:name w:val="Intense Quote"/>
    <w:basedOn w:val="701"/>
    <w:next w:val="701"/>
    <w:link w:val="74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8" w:customStyle="1">
    <w:name w:val="Выделенная цитата Знак"/>
    <w:link w:val="747"/>
    <w:uiPriority w:val="30"/>
    <w:rPr>
      <w:i/>
    </w:rPr>
  </w:style>
  <w:style w:type="paragraph" w:styleId="749" w:customStyle="1">
    <w:name w:val="Header"/>
    <w:basedOn w:val="701"/>
    <w:link w:val="750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50" w:customStyle="1">
    <w:name w:val="Верхний колонтитул Знак"/>
    <w:basedOn w:val="702"/>
    <w:link w:val="749"/>
    <w:uiPriority w:val="99"/>
  </w:style>
  <w:style w:type="paragraph" w:styleId="751" w:customStyle="1">
    <w:name w:val="Footer"/>
    <w:basedOn w:val="701"/>
    <w:link w:val="754"/>
    <w:uiPriority w:val="99"/>
    <w:unhideWhenUsed/>
    <w:pPr>
      <w:spacing w:line="240" w:lineRule="auto"/>
      <w:tabs>
        <w:tab w:val="center" w:pos="7143" w:leader="none"/>
        <w:tab w:val="right" w:pos="14287" w:leader="none"/>
      </w:tabs>
    </w:pPr>
  </w:style>
  <w:style w:type="character" w:styleId="752" w:customStyle="1">
    <w:name w:val="Footer Char"/>
    <w:basedOn w:val="702"/>
    <w:uiPriority w:val="99"/>
  </w:style>
  <w:style w:type="paragraph" w:styleId="753" w:customStyle="1">
    <w:name w:val="Caption"/>
    <w:basedOn w:val="701"/>
    <w:next w:val="701"/>
    <w:link w:val="728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54" w:customStyle="1">
    <w:name w:val="Нижний колонтитул Знак"/>
    <w:link w:val="751"/>
    <w:uiPriority w:val="99"/>
  </w:style>
  <w:style w:type="table" w:styleId="755" w:customStyle="1">
    <w:name w:val="Table Grid Light"/>
    <w:basedOn w:val="70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56" w:customStyle="1">
    <w:name w:val="Plain Table 1"/>
    <w:basedOn w:val="703"/>
    <w:uiPriority w:val="59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7" w:customStyle="1">
    <w:name w:val="Plain Table 2"/>
    <w:basedOn w:val="70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 w:customStyle="1">
    <w:name w:val="Plain Table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9" w:customStyle="1">
    <w:name w:val="Plain Table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Plain Table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1 Light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4"/>
    <w:basedOn w:val="7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3" w:customStyle="1">
    <w:name w:val="Grid Table 4 - Accent 1"/>
    <w:basedOn w:val="7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84" w:customStyle="1">
    <w:name w:val="Grid Table 4 - Accent 2"/>
    <w:basedOn w:val="7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5" w:customStyle="1">
    <w:name w:val="Grid Table 4 - Accent 3"/>
    <w:basedOn w:val="7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6" w:customStyle="1">
    <w:name w:val="Grid Table 4 - Accent 4"/>
    <w:basedOn w:val="7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7" w:customStyle="1">
    <w:name w:val="Grid Table 4 - Accent 5"/>
    <w:basedOn w:val="7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8" w:customStyle="1">
    <w:name w:val="Grid Table 4 - Accent 6"/>
    <w:basedOn w:val="70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89" w:customStyle="1">
    <w:name w:val="Grid Table 5 Dark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6 Colorful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7" w:customStyle="1">
    <w:name w:val="Grid Table 6 Colorful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8" w:customStyle="1">
    <w:name w:val="Grid Table 6 Colorful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99" w:customStyle="1">
    <w:name w:val="Grid Table 6 Colorful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00" w:customStyle="1">
    <w:name w:val="Grid Table 6 Colorful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1" w:customStyle="1">
    <w:name w:val="Grid Table 6 Colorful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2" w:customStyle="1">
    <w:name w:val="Grid Table 6 Colorful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3" w:customStyle="1">
    <w:name w:val="Grid Table 7 Colorful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 w:customStyle="1">
    <w:name w:val="Grid Table 7 Colorful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7 Colorful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7 Colorful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7 Colorful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7 Colorful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4" w:customStyle="1">
    <w:name w:val="List Table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5 Dark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6 Colorful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6" w:customStyle="1">
    <w:name w:val="List Table 6 Colorful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7" w:customStyle="1">
    <w:name w:val="List Table 6 Colorful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8" w:customStyle="1">
    <w:name w:val="List Table 6 Colorful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49" w:customStyle="1">
    <w:name w:val="List Table 6 Colorful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50" w:customStyle="1">
    <w:name w:val="List Table 6 Colorful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51" w:customStyle="1">
    <w:name w:val="List Table 6 Colorful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52" w:customStyle="1">
    <w:name w:val="List Table 7 Colorful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List Table 7 Colorful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7 Colorful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7 Colorful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7 Colorful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7 Colorful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ned - Accent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0" w:customStyle="1">
    <w:name w:val="Lined - Accent 1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1" w:customStyle="1">
    <w:name w:val="Lined - Accent 2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2" w:customStyle="1">
    <w:name w:val="Lined - Accent 3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3" w:customStyle="1">
    <w:name w:val="Lined - Accent 4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4" w:customStyle="1">
    <w:name w:val="Lined - Accent 5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5" w:customStyle="1">
    <w:name w:val="Lined - Accent 6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6" w:customStyle="1">
    <w:name w:val="Bordered &amp; Lined - Accent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7" w:customStyle="1">
    <w:name w:val="Bordered &amp; Lined - Accent 1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8" w:customStyle="1">
    <w:name w:val="Bordered &amp; Lined - Accent 2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9" w:customStyle="1">
    <w:name w:val="Bordered &amp; Lined - Accent 3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0" w:customStyle="1">
    <w:name w:val="Bordered &amp; Lined - Accent 4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1" w:customStyle="1">
    <w:name w:val="Bordered &amp; Lined - Accent 5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2" w:customStyle="1">
    <w:name w:val="Bordered &amp; Lined - Accent 6"/>
    <w:basedOn w:val="70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3" w:customStyle="1">
    <w:name w:val="Bordered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4" w:customStyle="1">
    <w:name w:val="Bordered - Accent 1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5" w:customStyle="1">
    <w:name w:val="Bordered - Accent 2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6" w:customStyle="1">
    <w:name w:val="Bordered - Accent 3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7" w:customStyle="1">
    <w:name w:val="Bordered - Accent 4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8" w:customStyle="1">
    <w:name w:val="Bordered - Accent 5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79" w:customStyle="1">
    <w:name w:val="Bordered - Accent 6"/>
    <w:basedOn w:val="70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80">
    <w:name w:val="Hyperlink"/>
    <w:uiPriority w:val="99"/>
    <w:unhideWhenUsed/>
    <w:rPr>
      <w:color w:val="0563c1" w:themeColor="hyperlink"/>
      <w:u w:val="single"/>
    </w:rPr>
  </w:style>
  <w:style w:type="paragraph" w:styleId="881">
    <w:name w:val="footnote text"/>
    <w:basedOn w:val="701"/>
    <w:link w:val="882"/>
    <w:uiPriority w:val="99"/>
    <w:semiHidden/>
    <w:unhideWhenUsed/>
    <w:pPr>
      <w:spacing w:after="40" w:line="240" w:lineRule="auto"/>
    </w:pPr>
    <w:rPr>
      <w:sz w:val="18"/>
    </w:rPr>
  </w:style>
  <w:style w:type="character" w:styleId="882" w:customStyle="1">
    <w:name w:val="Текст сноски Знак"/>
    <w:link w:val="881"/>
    <w:uiPriority w:val="99"/>
    <w:qFormat/>
    <w:rPr>
      <w:sz w:val="18"/>
    </w:rPr>
  </w:style>
  <w:style w:type="character" w:styleId="883">
    <w:name w:val="footnote reference"/>
    <w:basedOn w:val="702"/>
    <w:unhideWhenUsed/>
    <w:rPr>
      <w:vertAlign w:val="superscript"/>
    </w:rPr>
  </w:style>
  <w:style w:type="paragraph" w:styleId="884">
    <w:name w:val="endnote text"/>
    <w:basedOn w:val="701"/>
    <w:link w:val="885"/>
    <w:uiPriority w:val="99"/>
    <w:semiHidden/>
    <w:unhideWhenUsed/>
    <w:pPr>
      <w:spacing w:line="240" w:lineRule="auto"/>
    </w:pPr>
    <w:rPr>
      <w:sz w:val="20"/>
    </w:rPr>
  </w:style>
  <w:style w:type="character" w:styleId="885" w:customStyle="1">
    <w:name w:val="Текст концевой сноски Знак"/>
    <w:link w:val="884"/>
    <w:uiPriority w:val="99"/>
    <w:rPr>
      <w:sz w:val="20"/>
    </w:rPr>
  </w:style>
  <w:style w:type="character" w:styleId="886">
    <w:name w:val="endnote reference"/>
    <w:basedOn w:val="702"/>
    <w:uiPriority w:val="99"/>
    <w:semiHidden/>
    <w:unhideWhenUsed/>
    <w:rPr>
      <w:vertAlign w:val="superscript"/>
    </w:rPr>
  </w:style>
  <w:style w:type="paragraph" w:styleId="887">
    <w:name w:val="toc 1"/>
    <w:basedOn w:val="701"/>
    <w:next w:val="701"/>
    <w:uiPriority w:val="39"/>
    <w:unhideWhenUsed/>
    <w:pPr>
      <w:ind w:firstLine="0"/>
      <w:spacing w:after="57"/>
    </w:pPr>
  </w:style>
  <w:style w:type="paragraph" w:styleId="888">
    <w:name w:val="toc 2"/>
    <w:basedOn w:val="701"/>
    <w:next w:val="701"/>
    <w:uiPriority w:val="39"/>
    <w:unhideWhenUsed/>
    <w:pPr>
      <w:ind w:left="283" w:firstLine="0"/>
      <w:spacing w:after="57"/>
    </w:pPr>
  </w:style>
  <w:style w:type="paragraph" w:styleId="889">
    <w:name w:val="toc 3"/>
    <w:basedOn w:val="701"/>
    <w:next w:val="701"/>
    <w:uiPriority w:val="39"/>
    <w:unhideWhenUsed/>
    <w:pPr>
      <w:ind w:left="567" w:firstLine="0"/>
      <w:spacing w:after="57"/>
    </w:pPr>
  </w:style>
  <w:style w:type="paragraph" w:styleId="890">
    <w:name w:val="toc 4"/>
    <w:basedOn w:val="701"/>
    <w:next w:val="701"/>
    <w:uiPriority w:val="39"/>
    <w:unhideWhenUsed/>
    <w:pPr>
      <w:ind w:left="850" w:firstLine="0"/>
      <w:spacing w:after="57"/>
    </w:pPr>
  </w:style>
  <w:style w:type="paragraph" w:styleId="891">
    <w:name w:val="toc 5"/>
    <w:basedOn w:val="701"/>
    <w:next w:val="701"/>
    <w:uiPriority w:val="39"/>
    <w:unhideWhenUsed/>
    <w:pPr>
      <w:ind w:left="1134" w:firstLine="0"/>
      <w:spacing w:after="57"/>
    </w:pPr>
  </w:style>
  <w:style w:type="paragraph" w:styleId="892">
    <w:name w:val="toc 6"/>
    <w:basedOn w:val="701"/>
    <w:next w:val="701"/>
    <w:uiPriority w:val="39"/>
    <w:unhideWhenUsed/>
    <w:pPr>
      <w:ind w:left="1417" w:firstLine="0"/>
      <w:spacing w:after="57"/>
    </w:pPr>
  </w:style>
  <w:style w:type="paragraph" w:styleId="893">
    <w:name w:val="toc 7"/>
    <w:basedOn w:val="701"/>
    <w:next w:val="701"/>
    <w:uiPriority w:val="39"/>
    <w:unhideWhenUsed/>
    <w:pPr>
      <w:ind w:left="1701" w:firstLine="0"/>
      <w:spacing w:after="57"/>
    </w:pPr>
  </w:style>
  <w:style w:type="paragraph" w:styleId="894">
    <w:name w:val="toc 8"/>
    <w:basedOn w:val="701"/>
    <w:next w:val="701"/>
    <w:uiPriority w:val="39"/>
    <w:unhideWhenUsed/>
    <w:pPr>
      <w:ind w:left="1984" w:firstLine="0"/>
      <w:spacing w:after="57"/>
    </w:pPr>
  </w:style>
  <w:style w:type="paragraph" w:styleId="895">
    <w:name w:val="toc 9"/>
    <w:basedOn w:val="701"/>
    <w:next w:val="701"/>
    <w:uiPriority w:val="39"/>
    <w:unhideWhenUsed/>
    <w:pPr>
      <w:ind w:left="2268" w:firstLine="0"/>
      <w:spacing w:after="57"/>
    </w:pPr>
  </w:style>
  <w:style w:type="paragraph" w:styleId="896">
    <w:name w:val="TOC Heading"/>
    <w:uiPriority w:val="39"/>
    <w:unhideWhenUsed/>
  </w:style>
  <w:style w:type="paragraph" w:styleId="897">
    <w:name w:val="table of figures"/>
    <w:basedOn w:val="701"/>
    <w:next w:val="701"/>
    <w:uiPriority w:val="99"/>
    <w:unhideWhenUsed/>
  </w:style>
  <w:style w:type="table" w:styleId="898">
    <w:name w:val="Table Grid"/>
    <w:basedOn w:val="703"/>
    <w:uiPriority w:val="5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99" w:customStyle="1">
    <w:name w:val="УРОВЕНЬ_(а)"/>
    <w:basedOn w:val="907"/>
    <w:qFormat/>
    <w:pPr>
      <w:numPr>
        <w:ilvl w:val="3"/>
        <w:numId w:val="1"/>
      </w:numPr>
      <w:contextualSpacing w:val="0"/>
      <w:ind w:left="720" w:firstLine="567"/>
      <w:spacing w:before="120" w:line="360" w:lineRule="exact"/>
      <w:tabs>
        <w:tab w:val="num" w:pos="360" w:leader="none"/>
      </w:tabs>
      <w:outlineLvl w:val="3"/>
    </w:pPr>
    <w:rPr>
      <w:rFonts w:eastAsiaTheme="minorHAnsi"/>
      <w:sz w:val="26"/>
      <w:szCs w:val="28"/>
      <w:lang w:eastAsia="en-US"/>
    </w:rPr>
  </w:style>
  <w:style w:type="paragraph" w:styleId="900" w:customStyle="1">
    <w:name w:val="УРОВЕНЬ_-"/>
    <w:basedOn w:val="907"/>
    <w:link w:val="901"/>
    <w:qFormat/>
    <w:pPr>
      <w:numPr>
        <w:ilvl w:val="4"/>
        <w:numId w:val="1"/>
      </w:numPr>
      <w:contextualSpacing w:val="0"/>
      <w:spacing w:before="120" w:line="360" w:lineRule="exact"/>
      <w:outlineLvl w:val="4"/>
    </w:pPr>
    <w:rPr>
      <w:rFonts w:eastAsiaTheme="minorHAnsi"/>
      <w:sz w:val="26"/>
      <w:szCs w:val="28"/>
      <w:lang w:eastAsia="en-US"/>
    </w:rPr>
  </w:style>
  <w:style w:type="character" w:styleId="901" w:customStyle="1">
    <w:name w:val="УРОВЕНЬ_- Знак"/>
    <w:basedOn w:val="702"/>
    <w:link w:val="900"/>
    <w:rPr>
      <w:rFonts w:ascii="Times New Roman" w:hAnsi="Times New Roman" w:cs="Times New Roman"/>
      <w:sz w:val="26"/>
      <w:szCs w:val="28"/>
    </w:rPr>
  </w:style>
  <w:style w:type="paragraph" w:styleId="902" w:customStyle="1">
    <w:name w:val="УРОВЕНЬ_Абзац_тип2"/>
    <w:basedOn w:val="907"/>
    <w:link w:val="904"/>
    <w:qFormat/>
    <w:pPr>
      <w:numPr>
        <w:ilvl w:val="6"/>
        <w:numId w:val="1"/>
      </w:numPr>
      <w:contextualSpacing w:val="0"/>
      <w:spacing w:before="120" w:line="360" w:lineRule="exact"/>
    </w:pPr>
    <w:rPr>
      <w:rFonts w:eastAsiaTheme="minorHAnsi"/>
      <w:sz w:val="26"/>
      <w:szCs w:val="28"/>
      <w:lang w:eastAsia="en-US"/>
    </w:rPr>
  </w:style>
  <w:style w:type="paragraph" w:styleId="903" w:customStyle="1">
    <w:name w:val="УРОВЕНЬ_Абзац_тип3"/>
    <w:basedOn w:val="907"/>
    <w:link w:val="906"/>
    <w:qFormat/>
    <w:pPr>
      <w:numPr>
        <w:ilvl w:val="7"/>
        <w:numId w:val="1"/>
      </w:numPr>
      <w:contextualSpacing w:val="0"/>
      <w:spacing w:before="120" w:line="360" w:lineRule="exact"/>
    </w:pPr>
    <w:rPr>
      <w:rFonts w:eastAsiaTheme="minorHAnsi"/>
      <w:sz w:val="26"/>
      <w:szCs w:val="28"/>
      <w:lang w:eastAsia="en-US"/>
    </w:rPr>
  </w:style>
  <w:style w:type="character" w:styleId="904" w:customStyle="1">
    <w:name w:val="УРОВЕНЬ_Абзац_тип2 Знак"/>
    <w:basedOn w:val="702"/>
    <w:link w:val="902"/>
    <w:rPr>
      <w:rFonts w:ascii="Times New Roman" w:hAnsi="Times New Roman" w:cs="Times New Roman"/>
      <w:sz w:val="26"/>
      <w:szCs w:val="28"/>
    </w:rPr>
  </w:style>
  <w:style w:type="paragraph" w:styleId="905" w:customStyle="1">
    <w:name w:val="УРОВЕНЬ_Подпись"/>
    <w:basedOn w:val="907"/>
    <w:qFormat/>
    <w:pPr>
      <w:numPr>
        <w:ilvl w:val="5"/>
        <w:numId w:val="1"/>
      </w:numPr>
      <w:contextualSpacing w:val="0"/>
      <w:ind w:left="720" w:firstLine="567"/>
      <w:jc w:val="right"/>
      <w:keepNext/>
      <w:spacing w:before="120" w:after="120" w:line="360" w:lineRule="exact"/>
      <w:tabs>
        <w:tab w:val="num" w:pos="360" w:leader="none"/>
      </w:tabs>
      <w:outlineLvl w:val="3"/>
    </w:pPr>
    <w:rPr>
      <w:rFonts w:eastAsiaTheme="minorHAnsi"/>
      <w:sz w:val="26"/>
      <w:szCs w:val="28"/>
      <w:lang w:eastAsia="en-US"/>
    </w:rPr>
  </w:style>
  <w:style w:type="character" w:styleId="906" w:customStyle="1">
    <w:name w:val="УРОВЕНЬ_Абзац_тип3 Знак"/>
    <w:basedOn w:val="702"/>
    <w:link w:val="903"/>
    <w:rPr>
      <w:rFonts w:ascii="Times New Roman" w:hAnsi="Times New Roman" w:cs="Times New Roman"/>
      <w:sz w:val="26"/>
      <w:szCs w:val="28"/>
    </w:rPr>
  </w:style>
  <w:style w:type="paragraph" w:styleId="907">
    <w:name w:val="List Paragraph"/>
    <w:basedOn w:val="701"/>
    <w:uiPriority w:val="34"/>
    <w:qFormat/>
    <w:pPr>
      <w:contextualSpacing/>
      <w:ind w:left="720"/>
    </w:pPr>
  </w:style>
  <w:style w:type="paragraph" w:styleId="908">
    <w:name w:val="Balloon Text"/>
    <w:basedOn w:val="701"/>
    <w:link w:val="909"/>
    <w:uiPriority w:val="99"/>
    <w:semiHidden/>
    <w:unhideWhenUsed/>
    <w:pPr>
      <w:spacing w:line="240" w:lineRule="auto"/>
    </w:pPr>
    <w:rPr>
      <w:rFonts w:ascii="Segoe UI" w:hAnsi="Segoe UI" w:cs="Segoe UI"/>
      <w:sz w:val="18"/>
      <w:szCs w:val="18"/>
    </w:rPr>
  </w:style>
  <w:style w:type="character" w:styleId="909" w:customStyle="1">
    <w:name w:val="Текст выноски Знак"/>
    <w:basedOn w:val="702"/>
    <w:link w:val="908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paragraph" w:styleId="910" w:customStyle="1">
    <w:name w:val="УРОВЕНЬ_1."/>
    <w:basedOn w:val="907"/>
    <w:qFormat/>
    <w:pPr>
      <w:numPr>
        <w:ilvl w:val="0"/>
        <w:numId w:val="3"/>
      </w:numPr>
      <w:contextualSpacing w:val="0"/>
      <w:keepNext/>
      <w:spacing w:before="360" w:line="360" w:lineRule="exact"/>
      <w:outlineLvl w:val="0"/>
    </w:pPr>
    <w:rPr>
      <w:rFonts w:eastAsiaTheme="minorHAnsi"/>
      <w:b/>
      <w:caps/>
      <w:sz w:val="26"/>
      <w:szCs w:val="28"/>
      <w:lang w:eastAsia="en-US"/>
    </w:rPr>
  </w:style>
  <w:style w:type="paragraph" w:styleId="911" w:customStyle="1">
    <w:name w:val="УРОВЕНЬ_1.1."/>
    <w:basedOn w:val="907"/>
    <w:qFormat/>
    <w:pPr>
      <w:numPr>
        <w:ilvl w:val="1"/>
        <w:numId w:val="3"/>
      </w:numPr>
      <w:contextualSpacing w:val="0"/>
      <w:keepNext/>
      <w:spacing w:before="240" w:line="360" w:lineRule="exact"/>
      <w:outlineLvl w:val="1"/>
    </w:pPr>
    <w:rPr>
      <w:rFonts w:eastAsiaTheme="minorHAnsi"/>
      <w:b/>
      <w:sz w:val="26"/>
      <w:szCs w:val="28"/>
      <w:lang w:eastAsia="en-US"/>
    </w:rPr>
  </w:style>
  <w:style w:type="paragraph" w:styleId="912" w:customStyle="1">
    <w:name w:val="УРОВЕНЬ_1.1.1."/>
    <w:basedOn w:val="907"/>
    <w:qFormat/>
    <w:pPr>
      <w:numPr>
        <w:ilvl w:val="2"/>
        <w:numId w:val="3"/>
      </w:numPr>
      <w:contextualSpacing w:val="0"/>
      <w:spacing w:before="120" w:line="360" w:lineRule="exact"/>
      <w:outlineLvl w:val="2"/>
    </w:pPr>
    <w:rPr>
      <w:rFonts w:eastAsiaTheme="minorHAnsi"/>
      <w:sz w:val="26"/>
      <w:szCs w:val="28"/>
      <w:lang w:eastAsia="en-US"/>
    </w:rPr>
  </w:style>
  <w:style w:type="paragraph" w:styleId="913" w:customStyle="1">
    <w:name w:val="УРОВЕНЬ_Абзац_тип1"/>
    <w:basedOn w:val="907"/>
    <w:qFormat/>
    <w:pPr>
      <w:numPr>
        <w:ilvl w:val="5"/>
        <w:numId w:val="3"/>
      </w:numPr>
      <w:contextualSpacing w:val="0"/>
      <w:spacing w:before="120" w:line="360" w:lineRule="exact"/>
    </w:pPr>
    <w:rPr>
      <w:rFonts w:eastAsiaTheme="minorHAnsi"/>
      <w:sz w:val="26"/>
      <w:szCs w:val="28"/>
      <w:lang w:eastAsia="en-US"/>
    </w:rPr>
  </w:style>
  <w:style w:type="character" w:styleId="914">
    <w:name w:val="annotation reference"/>
    <w:basedOn w:val="702"/>
    <w:uiPriority w:val="99"/>
    <w:semiHidden/>
    <w:unhideWhenUsed/>
    <w:rPr>
      <w:sz w:val="16"/>
      <w:szCs w:val="16"/>
    </w:rPr>
  </w:style>
  <w:style w:type="paragraph" w:styleId="915">
    <w:name w:val="annotation text"/>
    <w:basedOn w:val="701"/>
    <w:link w:val="916"/>
    <w:uiPriority w:val="99"/>
    <w:semiHidden/>
    <w:unhideWhenUsed/>
    <w:pPr>
      <w:spacing w:line="240" w:lineRule="auto"/>
    </w:pPr>
    <w:rPr>
      <w:sz w:val="20"/>
    </w:rPr>
  </w:style>
  <w:style w:type="character" w:styleId="916" w:customStyle="1">
    <w:name w:val="Текст примечания Знак"/>
    <w:basedOn w:val="702"/>
    <w:link w:val="91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17">
    <w:name w:val="annotation subject"/>
    <w:basedOn w:val="915"/>
    <w:next w:val="915"/>
    <w:link w:val="918"/>
    <w:uiPriority w:val="99"/>
    <w:semiHidden/>
    <w:unhideWhenUsed/>
    <w:rPr>
      <w:b/>
      <w:bCs/>
    </w:rPr>
  </w:style>
  <w:style w:type="character" w:styleId="918" w:customStyle="1">
    <w:name w:val="Тема примечания Знак"/>
    <w:basedOn w:val="916"/>
    <w:link w:val="917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19" w:customStyle="1">
    <w:name w:val="[РусГидро] Пункт"/>
    <w:qFormat/>
    <w:pPr>
      <w:numPr>
        <w:ilvl w:val="2"/>
      </w:numPr>
      <w:ind w:left="720"/>
      <w:jc w:val="both"/>
      <w:spacing w:before="120" w:after="0" w:line="240" w:lineRule="auto"/>
      <w:tabs>
        <w:tab w:val="num" w:pos="36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</w:pPr>
    <w:rPr>
      <w:rFonts w:ascii="Times New Roman" w:hAnsi="Times New Roman" w:cs="Times New Roman"/>
      <w:sz w:val="26"/>
      <w:szCs w:val="26"/>
    </w:rPr>
  </w:style>
  <w:style w:type="character" w:styleId="920" w:customStyle="1">
    <w:name w:val="Символ сноски"/>
    <w:qFormat/>
    <w:rPr>
      <w:vertAlign w:val="superscript"/>
    </w:rPr>
  </w:style>
  <w:style w:type="paragraph" w:styleId="921" w:customStyle="1">
    <w:name w:val="[РГ] Текст"/>
    <w:basedOn w:val="899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922" w:customStyle="1">
    <w:name w:val="[РГ] Сноска"/>
    <w:qFormat/>
    <w:pPr>
      <w:contextualSpacing w:val="0"/>
      <w:ind w:left="567" w:right="0" w:hanging="567"/>
      <w:jc w:val="both"/>
      <w:keepLines w:val="0"/>
      <w:keepNext w:val="0"/>
      <w:pageBreakBefore w:val="0"/>
      <w:spacing w:before="8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table" w:styleId="923" w:customStyle="1">
    <w:name w:val="[РГ] Таблица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60" w:beforeAutospacing="0" w:after="6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hint="default"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  <w:tblPr>
      <w:tblStyleRowBandSize w:val="1"/>
      <w:tblStyleColBandSize w:val="1"/>
      <w:tblW w:w="0" w:type="auto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Layout w:type="autofit"/>
      <w:tblCellMar>
        <w:left w:w="57" w:type="dxa"/>
        <w:top w:w="0" w:type="dxa"/>
        <w:right w:w="57" w:type="dxa"/>
        <w:bottom w:w="0" w:type="dxa"/>
      </w:tblCellMar>
    </w:tblPr>
    <w:trPr>
      <w:cantSplit w:val="false"/>
      <w:jc w:val="left"/>
    </w:trPr>
    <w:tcPr>
      <w:tcW w:w="0" w:type="auto"/>
      <w:vAlign w:val="top"/>
      <w:vMerge w:val="restart"/>
      <w:hMerge w:val="restart"/>
    </w:tc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character" w:styleId="924" w:customStyle="1">
    <w:name w:val="[РГ] Отсылка"/>
    <w:uiPriority w:val="1"/>
    <w:qFormat/>
    <w:rPr>
      <w:color w:val="auto"/>
      <w:spacing w:val="0"/>
      <w:u w:val="single"/>
      <w:shd w:val="clear" w:color="auto" w:fill="auto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Зильберварг Артем Викторович</dc:creator>
  <cp:keywords/>
  <dc:description/>
  <cp:lastModifiedBy>kollang_nv@DGK.RU</cp:lastModifiedBy>
  <cp:revision>16</cp:revision>
  <dcterms:created xsi:type="dcterms:W3CDTF">2025-01-22T01:51:00Z</dcterms:created>
  <dcterms:modified xsi:type="dcterms:W3CDTF">2026-08-14T02:09:01Z</dcterms:modified>
</cp:coreProperties>
</file>